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0E1B2FCB" w:rsidR="00827C3B" w:rsidRPr="00BF13C1" w:rsidRDefault="00FC705F" w:rsidP="00FC705F">
      <w:pPr>
        <w:pStyle w:val="Titolocopertina"/>
      </w:pPr>
      <w:r w:rsidRPr="00D0025C">
        <w:t xml:space="preserve">CONSULTAZIONE DI MERCATO FINALIZZATA ALLA FORNITURA DI LICENZE </w:t>
      </w:r>
      <w:r w:rsidR="00B92964" w:rsidRPr="00D0025C">
        <w:t xml:space="preserve">IN MODALITA’ UNLIMITED E SERVIZI ORACLE </w:t>
      </w:r>
      <w:r w:rsidR="00BD50EC" w:rsidRPr="00D0025C">
        <w:t>PER INAIL</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1F633CFD" w:rsidR="00BE2716" w:rsidRPr="00BF13C1" w:rsidRDefault="00BE2716" w:rsidP="00BF13C1">
      <w:pPr>
        <w:pStyle w:val="Titoli14bold"/>
        <w:ind w:left="284"/>
      </w:pP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92341A" w:rsidP="00BF13C1">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BF13C1">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BF13C1">
      <w:pPr>
        <w:spacing w:line="276" w:lineRule="auto"/>
        <w:ind w:left="284"/>
        <w:jc w:val="both"/>
        <w:rPr>
          <w:rFonts w:asciiTheme="minorHAnsi" w:hAnsiTheme="minorHAnsi" w:cs="Arial"/>
          <w:bCs/>
          <w:i/>
          <w:sz w:val="20"/>
          <w:szCs w:val="20"/>
          <w:lang w:val="en-US"/>
        </w:rPr>
      </w:pPr>
      <w:proofErr w:type="spellStart"/>
      <w:r w:rsidRPr="002E5B4B">
        <w:rPr>
          <w:rFonts w:asciiTheme="minorHAnsi" w:hAnsiTheme="minorHAnsi" w:cs="Arial"/>
          <w:bCs/>
          <w:i/>
          <w:sz w:val="20"/>
          <w:szCs w:val="20"/>
          <w:lang w:val="en-US"/>
        </w:rPr>
        <w:t>Classificazione</w:t>
      </w:r>
      <w:proofErr w:type="spellEnd"/>
      <w:r w:rsidRPr="002E5B4B">
        <w:rPr>
          <w:rFonts w:asciiTheme="minorHAnsi" w:hAnsiTheme="minorHAnsi" w:cs="Arial"/>
          <w:bCs/>
          <w:i/>
          <w:sz w:val="20"/>
          <w:szCs w:val="20"/>
          <w:lang w:val="en-US"/>
        </w:rPr>
        <w:t>: Consip Public</w:t>
      </w:r>
    </w:p>
    <w:p w14:paraId="4293A0B8"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1AC1B471" w14:textId="464D0E27"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FD046A">
        <w:rPr>
          <w:rFonts w:asciiTheme="minorHAnsi" w:hAnsiTheme="minorHAnsi" w:cs="Arial"/>
          <w:bCs/>
          <w:sz w:val="20"/>
          <w:szCs w:val="20"/>
        </w:rPr>
        <w:t>17</w:t>
      </w:r>
      <w:r w:rsidR="001E773D" w:rsidRPr="001E773D">
        <w:rPr>
          <w:rFonts w:asciiTheme="minorHAnsi" w:hAnsiTheme="minorHAnsi" w:cs="Arial"/>
          <w:bCs/>
          <w:sz w:val="20"/>
          <w:szCs w:val="20"/>
        </w:rPr>
        <w:t>/</w:t>
      </w:r>
      <w:r w:rsidR="007414F0">
        <w:rPr>
          <w:rFonts w:asciiTheme="minorHAnsi" w:hAnsiTheme="minorHAnsi" w:cs="Arial"/>
          <w:bCs/>
          <w:sz w:val="20"/>
          <w:szCs w:val="20"/>
        </w:rPr>
        <w:t>01</w:t>
      </w:r>
      <w:r w:rsidR="001E773D" w:rsidRPr="001E773D">
        <w:rPr>
          <w:rFonts w:asciiTheme="minorHAnsi" w:hAnsiTheme="minorHAnsi" w:cs="Arial"/>
          <w:bCs/>
          <w:sz w:val="20"/>
          <w:szCs w:val="20"/>
        </w:rPr>
        <w:t>/20</w:t>
      </w:r>
      <w:r w:rsidR="007414F0">
        <w:rPr>
          <w:rFonts w:asciiTheme="minorHAnsi" w:hAnsiTheme="minorHAnsi" w:cs="Arial"/>
          <w:bCs/>
          <w:sz w:val="20"/>
          <w:szCs w:val="20"/>
        </w:rPr>
        <w:t>20</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4E9FAEB1" w:rsidR="00735A27" w:rsidRPr="00C67C2E" w:rsidRDefault="00827C3B" w:rsidP="00BF13C1">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r w:rsidRPr="00C67C2E">
        <w:rPr>
          <w:rFonts w:asciiTheme="minorHAnsi" w:hAnsiTheme="minorHAnsi" w:cs="Arial"/>
          <w:b/>
          <w:bCs/>
        </w:rPr>
        <w:tab/>
      </w:r>
    </w:p>
    <w:p w14:paraId="5A678C9F" w14:textId="2646E2E4" w:rsidR="00BD50EC" w:rsidRDefault="00BD50EC" w:rsidP="00BF13C1">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 presente consultazione di mercato è relativa </w:t>
      </w:r>
      <w:r w:rsidRPr="00D0025C">
        <w:rPr>
          <w:rFonts w:asciiTheme="minorHAnsi" w:hAnsiTheme="minorHAnsi" w:cs="Arial"/>
          <w:bCs/>
          <w:sz w:val="20"/>
          <w:szCs w:val="20"/>
        </w:rPr>
        <w:t xml:space="preserve">alla fornitura di </w:t>
      </w:r>
      <w:r w:rsidR="00B92964" w:rsidRPr="00D0025C">
        <w:rPr>
          <w:rFonts w:asciiTheme="minorHAnsi" w:hAnsiTheme="minorHAnsi" w:cs="Arial"/>
          <w:bCs/>
          <w:sz w:val="20"/>
          <w:szCs w:val="20"/>
        </w:rPr>
        <w:t xml:space="preserve">licenze </w:t>
      </w:r>
      <w:r w:rsidRPr="00D0025C">
        <w:rPr>
          <w:rFonts w:asciiTheme="minorHAnsi" w:hAnsiTheme="minorHAnsi" w:cs="Arial"/>
          <w:bCs/>
          <w:sz w:val="20"/>
          <w:szCs w:val="20"/>
        </w:rPr>
        <w:t xml:space="preserve">in modalità </w:t>
      </w:r>
      <w:proofErr w:type="spellStart"/>
      <w:r w:rsidRPr="00D0025C">
        <w:rPr>
          <w:rFonts w:asciiTheme="minorHAnsi" w:hAnsiTheme="minorHAnsi" w:cs="Arial"/>
          <w:bCs/>
          <w:sz w:val="20"/>
          <w:szCs w:val="20"/>
        </w:rPr>
        <w:t>Unlimited</w:t>
      </w:r>
      <w:proofErr w:type="spellEnd"/>
      <w:r w:rsidRPr="00D0025C">
        <w:rPr>
          <w:rFonts w:asciiTheme="minorHAnsi" w:hAnsiTheme="minorHAnsi" w:cs="Arial"/>
          <w:bCs/>
          <w:sz w:val="20"/>
          <w:szCs w:val="20"/>
        </w:rPr>
        <w:t xml:space="preserve"> </w:t>
      </w:r>
      <w:r w:rsidR="00B92964" w:rsidRPr="00D0025C">
        <w:rPr>
          <w:rFonts w:asciiTheme="minorHAnsi" w:hAnsiTheme="minorHAnsi" w:cs="Arial"/>
          <w:bCs/>
          <w:sz w:val="20"/>
          <w:szCs w:val="20"/>
        </w:rPr>
        <w:t xml:space="preserve">e servizi Oracle </w:t>
      </w:r>
      <w:r w:rsidR="00B53E7E">
        <w:rPr>
          <w:rFonts w:asciiTheme="minorHAnsi" w:hAnsiTheme="minorHAnsi" w:cs="Arial"/>
          <w:bCs/>
          <w:sz w:val="20"/>
          <w:szCs w:val="20"/>
        </w:rPr>
        <w:t xml:space="preserve">connessi </w:t>
      </w:r>
      <w:r w:rsidRPr="00D0025C">
        <w:rPr>
          <w:rFonts w:asciiTheme="minorHAnsi" w:hAnsiTheme="minorHAnsi" w:cs="Arial"/>
          <w:bCs/>
          <w:sz w:val="20"/>
          <w:szCs w:val="20"/>
        </w:rPr>
        <w:t>per</w:t>
      </w:r>
      <w:r w:rsidR="00B92964" w:rsidRPr="00D0025C">
        <w:rPr>
          <w:rFonts w:asciiTheme="minorHAnsi" w:hAnsiTheme="minorHAnsi" w:cs="Arial"/>
          <w:bCs/>
          <w:sz w:val="20"/>
          <w:szCs w:val="20"/>
        </w:rPr>
        <w:t xml:space="preserve"> </w:t>
      </w:r>
      <w:r w:rsidRPr="00D0025C">
        <w:rPr>
          <w:rFonts w:asciiTheme="minorHAnsi" w:hAnsiTheme="minorHAnsi" w:cs="Arial"/>
          <w:bCs/>
          <w:sz w:val="20"/>
          <w:szCs w:val="20"/>
        </w:rPr>
        <w:t>INAIL.</w:t>
      </w:r>
    </w:p>
    <w:p w14:paraId="7E17A396" w14:textId="77777777" w:rsidR="00BD50EC" w:rsidRDefault="00BD50EC"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6083D975" w14:textId="69124CC2" w:rsidR="00BD50EC" w:rsidRDefault="00BD50EC" w:rsidP="00BD50EC">
      <w:pPr>
        <w:spacing w:line="360" w:lineRule="auto"/>
        <w:ind w:left="284"/>
        <w:jc w:val="both"/>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3D0175A2" w14:textId="77777777" w:rsidR="00F8539B" w:rsidRPr="00F8539B" w:rsidRDefault="00F8539B" w:rsidP="009335E0">
      <w:pPr>
        <w:pStyle w:val="BodyText21"/>
        <w:numPr>
          <w:ilvl w:val="0"/>
          <w:numId w:val="2"/>
        </w:numPr>
        <w:tabs>
          <w:tab w:val="clear" w:pos="3828"/>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9335E0">
      <w:pPr>
        <w:pStyle w:val="BodyText21"/>
        <w:numPr>
          <w:ilvl w:val="0"/>
          <w:numId w:val="2"/>
        </w:numPr>
        <w:tabs>
          <w:tab w:val="num" w:pos="360"/>
        </w:tabs>
        <w:spacing w:line="276"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9335E0">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22BC09C1" w:rsidR="0075303D" w:rsidRPr="0075303D" w:rsidRDefault="0075303D" w:rsidP="0075303D">
      <w:pPr>
        <w:pStyle w:val="BodyText21"/>
        <w:numPr>
          <w:ilvl w:val="0"/>
          <w:numId w:val="2"/>
        </w:numPr>
        <w:tabs>
          <w:tab w:val="num" w:pos="360"/>
        </w:tabs>
        <w:spacing w:line="276"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prodotti e servizi </w:t>
      </w:r>
      <w:r w:rsidR="001E773D">
        <w:rPr>
          <w:rFonts w:asciiTheme="minorHAnsi" w:hAnsiTheme="minorHAnsi" w:cs="Arial"/>
          <w:bCs/>
          <w:sz w:val="20"/>
          <w:szCs w:val="20"/>
        </w:rPr>
        <w:t>Oracle</w:t>
      </w:r>
      <w:r w:rsidRPr="0075303D">
        <w:rPr>
          <w:rFonts w:asciiTheme="minorHAnsi" w:hAnsiTheme="minorHAnsi" w:cs="Arial"/>
          <w:bCs/>
          <w:sz w:val="20"/>
          <w:szCs w:val="20"/>
        </w:rPr>
        <w:t xml:space="preserve"> o -nel caso - di eventuali soluzioni alternative, purché rispondenti, in toto, alle caratteristiche tecniche/funzionali degli stessi prodotti e servizi </w:t>
      </w:r>
      <w:r w:rsidR="001E773D">
        <w:rPr>
          <w:rFonts w:asciiTheme="minorHAnsi" w:hAnsiTheme="minorHAnsi" w:cs="Arial"/>
          <w:bCs/>
          <w:sz w:val="20"/>
          <w:szCs w:val="20"/>
        </w:rPr>
        <w:t>Oracle</w:t>
      </w:r>
      <w:r w:rsidRPr="0075303D">
        <w:rPr>
          <w:rFonts w:asciiTheme="minorHAnsi" w:hAnsiTheme="minorHAnsi" w:cs="Arial"/>
          <w:bCs/>
          <w:sz w:val="20"/>
          <w:szCs w:val="20"/>
        </w:rPr>
        <w:t>.</w:t>
      </w:r>
    </w:p>
    <w:p w14:paraId="32BB34B9" w14:textId="6D3078A1" w:rsidR="00F8539B" w:rsidRDefault="00F8539B" w:rsidP="00BF13C1">
      <w:pPr>
        <w:spacing w:line="276" w:lineRule="auto"/>
        <w:ind w:left="284"/>
        <w:jc w:val="both"/>
        <w:rPr>
          <w:rFonts w:asciiTheme="minorHAnsi" w:hAnsiTheme="minorHAnsi" w:cs="Arial"/>
          <w:bCs/>
          <w:sz w:val="20"/>
          <w:szCs w:val="20"/>
        </w:rPr>
      </w:pPr>
    </w:p>
    <w:p w14:paraId="7790A5E1" w14:textId="19A7F340" w:rsidR="00BD50EC" w:rsidRDefault="00BD50EC" w:rsidP="00BD50EC">
      <w:pPr>
        <w:spacing w:line="360" w:lineRule="auto"/>
        <w:ind w:left="284"/>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Pr>
          <w:rFonts w:ascii="Calibri" w:hAnsi="Calibri" w:cs="Arial"/>
          <w:sz w:val="20"/>
          <w:szCs w:val="20"/>
        </w:rPr>
        <w:t xml:space="preserve"> del</w:t>
      </w:r>
      <w:r w:rsidRPr="00461922">
        <w:rPr>
          <w:rFonts w:ascii="Calibri" w:hAnsi="Calibri" w:cs="Arial"/>
          <w:sz w:val="20"/>
          <w:szCs w:val="20"/>
        </w:rPr>
        <w:t xml:space="preserve"> </w:t>
      </w:r>
      <w:r>
        <w:rPr>
          <w:rFonts w:ascii="Calibri" w:hAnsi="Calibri" w:cs="Arial"/>
          <w:sz w:val="20"/>
          <w:szCs w:val="20"/>
        </w:rPr>
        <w:t>D</w:t>
      </w:r>
      <w:r w:rsidRPr="00461922">
        <w:rPr>
          <w:rFonts w:ascii="Calibri" w:hAnsi="Calibri" w:cs="Arial"/>
          <w:sz w:val="20"/>
          <w:szCs w:val="20"/>
        </w:rPr>
        <w:t>.lgs. 50/2016 il ricorso alla procedura negoziata senza pubblicazione del bando</w:t>
      </w:r>
      <w:r>
        <w:rPr>
          <w:rFonts w:ascii="Calibri" w:hAnsi="Calibri" w:cs="Arial"/>
          <w:sz w:val="20"/>
          <w:szCs w:val="20"/>
        </w:rPr>
        <w:t>.</w:t>
      </w:r>
    </w:p>
    <w:p w14:paraId="5B2BA4E8" w14:textId="77777777" w:rsidR="00BD50EC" w:rsidRPr="00F8539B" w:rsidRDefault="00BD50EC" w:rsidP="00BF13C1">
      <w:pPr>
        <w:spacing w:line="276" w:lineRule="auto"/>
        <w:ind w:left="284"/>
        <w:jc w:val="both"/>
        <w:rPr>
          <w:rFonts w:asciiTheme="minorHAnsi" w:hAnsiTheme="minorHAnsi" w:cs="Arial"/>
          <w:bCs/>
          <w:sz w:val="20"/>
          <w:szCs w:val="20"/>
        </w:rPr>
      </w:pPr>
    </w:p>
    <w:p w14:paraId="52E25F38" w14:textId="7B6C32D4" w:rsidR="00F8539B" w:rsidRPr="00F8539B" w:rsidRDefault="00F8539B" w:rsidP="00BD50EC">
      <w:pPr>
        <w:spacing w:line="360"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EF5FFD" w:rsidRPr="00D0025C">
        <w:rPr>
          <w:rFonts w:asciiTheme="minorHAnsi" w:hAnsiTheme="minorHAnsi" w:cs="Arial"/>
          <w:bCs/>
          <w:sz w:val="20"/>
          <w:szCs w:val="20"/>
        </w:rPr>
        <w:t xml:space="preserve">“Fornitura di </w:t>
      </w:r>
      <w:r w:rsidR="00B92964" w:rsidRPr="00D0025C">
        <w:rPr>
          <w:rFonts w:asciiTheme="minorHAnsi" w:hAnsiTheme="minorHAnsi" w:cs="Arial"/>
          <w:bCs/>
          <w:sz w:val="20"/>
          <w:szCs w:val="20"/>
        </w:rPr>
        <w:t xml:space="preserve">licenze in modalità </w:t>
      </w:r>
      <w:proofErr w:type="spellStart"/>
      <w:r w:rsidR="00B92964" w:rsidRPr="00D0025C">
        <w:rPr>
          <w:rFonts w:asciiTheme="minorHAnsi" w:hAnsiTheme="minorHAnsi" w:cs="Arial"/>
          <w:bCs/>
          <w:sz w:val="20"/>
          <w:szCs w:val="20"/>
        </w:rPr>
        <w:t>Unlimited</w:t>
      </w:r>
      <w:proofErr w:type="spellEnd"/>
      <w:r w:rsidR="00B92964" w:rsidRPr="00D0025C">
        <w:rPr>
          <w:rFonts w:asciiTheme="minorHAnsi" w:hAnsiTheme="minorHAnsi" w:cs="Arial"/>
          <w:bCs/>
          <w:sz w:val="20"/>
          <w:szCs w:val="20"/>
        </w:rPr>
        <w:t xml:space="preserve"> e servizi </w:t>
      </w:r>
      <w:r w:rsidR="00EF5FFD" w:rsidRPr="00D0025C">
        <w:rPr>
          <w:rFonts w:asciiTheme="minorHAnsi" w:hAnsiTheme="minorHAnsi" w:cs="Arial"/>
          <w:bCs/>
          <w:sz w:val="20"/>
          <w:szCs w:val="20"/>
        </w:rPr>
        <w:t>Oracle</w:t>
      </w:r>
      <w:r w:rsidR="00B92964" w:rsidRPr="00D0025C">
        <w:rPr>
          <w:rFonts w:asciiTheme="minorHAnsi" w:hAnsiTheme="minorHAnsi" w:cs="Arial"/>
          <w:bCs/>
          <w:sz w:val="20"/>
          <w:szCs w:val="20"/>
        </w:rPr>
        <w:t xml:space="preserve"> per </w:t>
      </w:r>
      <w:r w:rsidR="00EF5FFD" w:rsidRPr="00D0025C">
        <w:rPr>
          <w:rFonts w:asciiTheme="minorHAnsi" w:hAnsiTheme="minorHAnsi" w:cs="Arial"/>
          <w:bCs/>
          <w:sz w:val="20"/>
          <w:szCs w:val="20"/>
        </w:rPr>
        <w:t>INAIL”.</w:t>
      </w:r>
    </w:p>
    <w:p w14:paraId="0C497AAC" w14:textId="77777777" w:rsidR="0030431C" w:rsidRDefault="0030431C" w:rsidP="00BF13C1">
      <w:pPr>
        <w:spacing w:line="276" w:lineRule="auto"/>
        <w:ind w:left="284"/>
        <w:jc w:val="both"/>
        <w:rPr>
          <w:rFonts w:asciiTheme="minorHAnsi" w:hAnsiTheme="minorHAnsi" w:cs="Arial"/>
          <w:bCs/>
          <w:sz w:val="20"/>
          <w:szCs w:val="20"/>
        </w:rPr>
      </w:pPr>
    </w:p>
    <w:p w14:paraId="516BC228" w14:textId="77777777"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375743B6" w:rsidR="00F8539B" w:rsidRPr="00F8539B" w:rsidRDefault="00F8539B" w:rsidP="00BD50EC">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77B34E5A" w14:textId="77777777" w:rsidR="00F8539B" w:rsidRPr="00BF19FA" w:rsidRDefault="00F8539B" w:rsidP="00BD50EC">
      <w:pPr>
        <w:spacing w:line="360"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BF13C1">
      <w:pPr>
        <w:spacing w:line="276" w:lineRule="auto"/>
        <w:ind w:left="284"/>
        <w:jc w:val="both"/>
        <w:rPr>
          <w:rFonts w:asciiTheme="minorHAnsi" w:hAnsiTheme="minorHAnsi" w:cs="Arial"/>
          <w:bCs/>
          <w:sz w:val="20"/>
          <w:szCs w:val="20"/>
        </w:rPr>
      </w:pPr>
    </w:p>
    <w:p w14:paraId="10A7C569" w14:textId="1DD21486" w:rsidR="00BF19FA" w:rsidRDefault="00BF19FA" w:rsidP="00BF13C1">
      <w:pPr>
        <w:spacing w:line="276" w:lineRule="auto"/>
        <w:ind w:left="284"/>
        <w:jc w:val="both"/>
        <w:rPr>
          <w:rFonts w:asciiTheme="minorHAnsi" w:hAnsiTheme="minorHAnsi" w:cs="Arial"/>
          <w:bCs/>
          <w:sz w:val="20"/>
          <w:szCs w:val="20"/>
        </w:rPr>
      </w:pPr>
    </w:p>
    <w:p w14:paraId="1F6A2CD4" w14:textId="2EB97391" w:rsidR="00BF19FA" w:rsidRDefault="00BF19FA" w:rsidP="00BF13C1">
      <w:pPr>
        <w:spacing w:line="276" w:lineRule="auto"/>
        <w:ind w:left="284"/>
        <w:jc w:val="both"/>
        <w:rPr>
          <w:rFonts w:asciiTheme="minorHAnsi" w:hAnsiTheme="minorHAnsi" w:cs="Arial"/>
          <w:bCs/>
          <w:sz w:val="20"/>
          <w:szCs w:val="20"/>
        </w:rPr>
      </w:pPr>
    </w:p>
    <w:p w14:paraId="1B935573" w14:textId="06D4AE4E" w:rsidR="00BF19FA" w:rsidRDefault="00BF19FA" w:rsidP="00BF13C1">
      <w:pPr>
        <w:spacing w:line="276" w:lineRule="auto"/>
        <w:ind w:left="284"/>
        <w:jc w:val="both"/>
        <w:rPr>
          <w:rFonts w:asciiTheme="minorHAnsi" w:hAnsiTheme="minorHAnsi" w:cs="Arial"/>
          <w:bCs/>
          <w:sz w:val="20"/>
          <w:szCs w:val="20"/>
        </w:rPr>
      </w:pPr>
    </w:p>
    <w:p w14:paraId="282F9984" w14:textId="436A2220" w:rsidR="00BF19FA" w:rsidRDefault="00BF19FA" w:rsidP="00BF13C1">
      <w:pPr>
        <w:spacing w:line="276" w:lineRule="auto"/>
        <w:ind w:left="284"/>
        <w:jc w:val="both"/>
        <w:rPr>
          <w:rFonts w:asciiTheme="minorHAnsi" w:hAnsiTheme="minorHAnsi" w:cs="Arial"/>
          <w:bCs/>
          <w:sz w:val="20"/>
          <w:szCs w:val="20"/>
        </w:rPr>
      </w:pPr>
    </w:p>
    <w:p w14:paraId="59AC03A9" w14:textId="7988C569" w:rsidR="00BF19FA" w:rsidRDefault="00BF19FA" w:rsidP="00BF13C1">
      <w:pPr>
        <w:spacing w:line="276" w:lineRule="auto"/>
        <w:ind w:left="284"/>
        <w:jc w:val="both"/>
        <w:rPr>
          <w:rFonts w:asciiTheme="minorHAnsi" w:hAnsiTheme="minorHAnsi" w:cs="Arial"/>
          <w:bCs/>
          <w:sz w:val="20"/>
          <w:szCs w:val="20"/>
        </w:rPr>
      </w:pPr>
    </w:p>
    <w:p w14:paraId="0F0A4E79" w14:textId="553D6911" w:rsidR="00BF19FA" w:rsidRDefault="00BF19FA" w:rsidP="00BF13C1">
      <w:pPr>
        <w:spacing w:line="276" w:lineRule="auto"/>
        <w:ind w:left="284"/>
        <w:jc w:val="both"/>
        <w:rPr>
          <w:rFonts w:asciiTheme="minorHAnsi" w:hAnsiTheme="minorHAnsi" w:cs="Arial"/>
          <w:bCs/>
          <w:sz w:val="20"/>
          <w:szCs w:val="20"/>
        </w:rPr>
      </w:pPr>
    </w:p>
    <w:p w14:paraId="2FF4901C" w14:textId="34DE6366" w:rsidR="00BF19FA" w:rsidRDefault="00BF19FA" w:rsidP="00BF13C1">
      <w:pPr>
        <w:spacing w:line="276" w:lineRule="auto"/>
        <w:ind w:left="284"/>
        <w:jc w:val="both"/>
        <w:rPr>
          <w:rFonts w:asciiTheme="minorHAnsi" w:hAnsiTheme="minorHAnsi" w:cs="Arial"/>
          <w:bCs/>
          <w:sz w:val="20"/>
          <w:szCs w:val="20"/>
        </w:rPr>
      </w:pPr>
    </w:p>
    <w:p w14:paraId="52980583" w14:textId="77777777" w:rsidR="00BF19FA" w:rsidRDefault="00BF19FA" w:rsidP="00BF13C1">
      <w:pPr>
        <w:spacing w:line="276" w:lineRule="auto"/>
        <w:ind w:left="284"/>
        <w:jc w:val="both"/>
        <w:rPr>
          <w:rFonts w:asciiTheme="minorHAnsi" w:hAnsiTheme="minorHAnsi" w:cs="Arial"/>
          <w:bCs/>
          <w:sz w:val="20"/>
          <w:szCs w:val="20"/>
        </w:rPr>
      </w:pPr>
    </w:p>
    <w:p w14:paraId="5076F7AE" w14:textId="6E0CECAC" w:rsidR="00827C3B" w:rsidRPr="00BF19FA" w:rsidRDefault="00827C3B" w:rsidP="00BF13C1">
      <w:pPr>
        <w:spacing w:line="360" w:lineRule="auto"/>
        <w:ind w:left="284"/>
        <w:jc w:val="both"/>
        <w:rPr>
          <w:rFonts w:asciiTheme="minorHAnsi" w:hAnsiTheme="minorHAnsi" w:cs="Arial"/>
          <w:b/>
          <w:bCs/>
          <w:sz w:val="28"/>
          <w:szCs w:val="28"/>
        </w:rPr>
      </w:pPr>
      <w:r w:rsidRPr="00BF19FA">
        <w:rPr>
          <w:rFonts w:asciiTheme="minorHAnsi" w:hAnsiTheme="minorHAnsi" w:cs="Arial"/>
          <w:b/>
          <w:bCs/>
          <w:sz w:val="28"/>
          <w:szCs w:val="28"/>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BF19FA">
            <w:pPr>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BF13C1">
            <w:pPr>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C979473" w14:textId="77777777" w:rsidR="00BF19FA" w:rsidRDefault="00BF19FA" w:rsidP="00BF13C1">
      <w:pPr>
        <w:ind w:left="284"/>
        <w:rPr>
          <w:rFonts w:asciiTheme="minorHAnsi" w:hAnsiTheme="minorHAnsi" w:cs="Arial"/>
          <w:b/>
          <w:bCs/>
          <w:sz w:val="20"/>
          <w:szCs w:val="20"/>
        </w:rPr>
      </w:pPr>
    </w:p>
    <w:p w14:paraId="5B5ACBD4" w14:textId="77777777" w:rsidR="00BF19FA" w:rsidRDefault="00BF19FA" w:rsidP="00BF13C1">
      <w:pPr>
        <w:ind w:left="284"/>
        <w:jc w:val="both"/>
        <w:rPr>
          <w:rFonts w:asciiTheme="minorHAnsi" w:hAnsiTheme="minorHAnsi" w:cs="Arial"/>
          <w:b/>
          <w:bCs/>
          <w:sz w:val="22"/>
          <w:szCs w:val="20"/>
        </w:rPr>
      </w:pPr>
    </w:p>
    <w:p w14:paraId="0AC158D4" w14:textId="3372EF80" w:rsidR="00827C3B" w:rsidRPr="00C67C2E" w:rsidRDefault="00827C3B" w:rsidP="00BF19FA">
      <w:pPr>
        <w:jc w:val="both"/>
        <w:rPr>
          <w:rFonts w:asciiTheme="minorHAnsi" w:hAnsiTheme="minorHAnsi" w:cs="Arial"/>
          <w:b/>
          <w:bCs/>
        </w:rPr>
      </w:pPr>
      <w:r w:rsidRPr="00C67C2E">
        <w:rPr>
          <w:rFonts w:asciiTheme="minorHAnsi" w:hAnsiTheme="minorHAnsi" w:cs="Arial"/>
          <w:b/>
          <w:bCs/>
        </w:rPr>
        <w:t>Informativa sul trattamento dei dati personali</w:t>
      </w:r>
    </w:p>
    <w:p w14:paraId="15EB308F" w14:textId="77777777" w:rsidR="005A258D" w:rsidRDefault="005A258D" w:rsidP="00BF19FA">
      <w:pPr>
        <w:spacing w:line="276" w:lineRule="auto"/>
        <w:jc w:val="both"/>
        <w:rPr>
          <w:rFonts w:asciiTheme="minorHAnsi" w:hAnsiTheme="minorHAnsi" w:cs="Arial"/>
          <w:b/>
          <w:bCs/>
          <w:sz w:val="20"/>
          <w:szCs w:val="20"/>
        </w:rPr>
      </w:pPr>
    </w:p>
    <w:p w14:paraId="26A64239" w14:textId="7BDD3D4E" w:rsidR="004A4EB1" w:rsidRPr="0019376C"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BF19FA">
      <w:pPr>
        <w:spacing w:line="276" w:lineRule="auto"/>
        <w:jc w:val="both"/>
        <w:rPr>
          <w:rFonts w:asciiTheme="minorHAnsi" w:hAnsiTheme="minorHAnsi" w:cs="Arial"/>
          <w:bCs/>
          <w:sz w:val="20"/>
          <w:szCs w:val="20"/>
        </w:rPr>
      </w:pPr>
    </w:p>
    <w:p w14:paraId="32B22F8B" w14:textId="1EE3095E" w:rsidR="00F8539B" w:rsidRP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9FA">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9FA">
      <w:pPr>
        <w:spacing w:line="276" w:lineRule="auto"/>
        <w:jc w:val="both"/>
        <w:rPr>
          <w:rFonts w:asciiTheme="minorHAnsi" w:hAnsiTheme="minorHAnsi" w:cs="Arial"/>
          <w:bCs/>
          <w:sz w:val="20"/>
          <w:szCs w:val="20"/>
        </w:rPr>
      </w:pPr>
      <w:r w:rsidRPr="006F7363">
        <w:rPr>
          <w:rFonts w:asciiTheme="minorHAnsi" w:hAnsiTheme="minorHAnsi" w:cs="Arial"/>
          <w:bCs/>
          <w:sz w:val="20"/>
          <w:szCs w:val="20"/>
        </w:rPr>
        <w:t xml:space="preserve">Se in caso di esercizio del diritto di accesso e dei diritti connessi previsti dagli artt. da 15 a 22 del Regolamento UE, la risposta all'istanza non perviene nei tempi indicati e/o non è soddisfacente, </w:t>
      </w:r>
      <w:r w:rsidRPr="006F7363">
        <w:rPr>
          <w:rFonts w:asciiTheme="minorHAnsi" w:hAnsiTheme="minorHAnsi" w:cs="Arial"/>
          <w:bCs/>
          <w:sz w:val="20"/>
          <w:szCs w:val="20"/>
        </w:rPr>
        <w:lastRenderedPageBreak/>
        <w:t>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BF19FA">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344B3B56" w:rsidR="00122B75" w:rsidRDefault="00122B75" w:rsidP="00BF13C1">
      <w:pPr>
        <w:ind w:left="284"/>
        <w:jc w:val="both"/>
        <w:rPr>
          <w:rFonts w:asciiTheme="minorHAnsi" w:hAnsiTheme="minorHAnsi" w:cs="Arial"/>
          <w:b/>
          <w:bCs/>
          <w:color w:val="1F497D" w:themeColor="text2"/>
          <w:sz w:val="20"/>
          <w:szCs w:val="20"/>
        </w:rPr>
      </w:pPr>
    </w:p>
    <w:p w14:paraId="4530148E" w14:textId="7E48ED51" w:rsidR="00BF19FA" w:rsidRDefault="00BF19FA" w:rsidP="00BF13C1">
      <w:pPr>
        <w:ind w:left="284"/>
        <w:jc w:val="both"/>
        <w:rPr>
          <w:rFonts w:asciiTheme="minorHAnsi" w:hAnsiTheme="minorHAnsi" w:cs="Arial"/>
          <w:b/>
          <w:bCs/>
          <w:color w:val="1F497D" w:themeColor="text2"/>
          <w:sz w:val="20"/>
          <w:szCs w:val="20"/>
        </w:rPr>
      </w:pPr>
    </w:p>
    <w:p w14:paraId="4EC549F7" w14:textId="077A6237" w:rsidR="00BF19FA" w:rsidRDefault="00BF19FA" w:rsidP="00BF13C1">
      <w:pPr>
        <w:ind w:left="284"/>
        <w:jc w:val="both"/>
        <w:rPr>
          <w:rFonts w:asciiTheme="minorHAnsi" w:hAnsiTheme="minorHAnsi" w:cs="Arial"/>
          <w:b/>
          <w:bCs/>
          <w:color w:val="1F497D" w:themeColor="text2"/>
          <w:sz w:val="20"/>
          <w:szCs w:val="20"/>
        </w:rPr>
      </w:pPr>
    </w:p>
    <w:p w14:paraId="7D168AB4" w14:textId="728D9402" w:rsidR="00BF19FA" w:rsidRDefault="00BF19FA" w:rsidP="00BF13C1">
      <w:pPr>
        <w:ind w:left="284"/>
        <w:jc w:val="both"/>
        <w:rPr>
          <w:rFonts w:asciiTheme="minorHAnsi" w:hAnsiTheme="minorHAnsi" w:cs="Arial"/>
          <w:b/>
          <w:bCs/>
          <w:color w:val="1F497D" w:themeColor="text2"/>
          <w:sz w:val="20"/>
          <w:szCs w:val="20"/>
        </w:rPr>
      </w:pPr>
    </w:p>
    <w:p w14:paraId="3C7408B0" w14:textId="675D75A8" w:rsidR="00BF19FA" w:rsidRDefault="00BF19FA" w:rsidP="00BF13C1">
      <w:pPr>
        <w:ind w:left="284"/>
        <w:jc w:val="both"/>
        <w:rPr>
          <w:rFonts w:asciiTheme="minorHAnsi" w:hAnsiTheme="minorHAnsi" w:cs="Arial"/>
          <w:b/>
          <w:bCs/>
          <w:color w:val="1F497D" w:themeColor="text2"/>
          <w:sz w:val="20"/>
          <w:szCs w:val="20"/>
        </w:rPr>
      </w:pPr>
    </w:p>
    <w:p w14:paraId="077789D2" w14:textId="6BD76B3E" w:rsidR="00BF19FA" w:rsidRDefault="00BF19FA" w:rsidP="00BF13C1">
      <w:pPr>
        <w:ind w:left="284"/>
        <w:jc w:val="both"/>
        <w:rPr>
          <w:rFonts w:asciiTheme="minorHAnsi" w:hAnsiTheme="minorHAnsi" w:cs="Arial"/>
          <w:b/>
          <w:bCs/>
          <w:color w:val="1F497D" w:themeColor="text2"/>
          <w:sz w:val="20"/>
          <w:szCs w:val="20"/>
        </w:rPr>
      </w:pPr>
    </w:p>
    <w:p w14:paraId="423A0C47" w14:textId="7C3F1FA3" w:rsidR="00BF19FA" w:rsidRDefault="00BF19FA" w:rsidP="00BF13C1">
      <w:pPr>
        <w:ind w:left="284"/>
        <w:jc w:val="both"/>
        <w:rPr>
          <w:rFonts w:asciiTheme="minorHAnsi" w:hAnsiTheme="minorHAnsi" w:cs="Arial"/>
          <w:b/>
          <w:bCs/>
          <w:color w:val="1F497D" w:themeColor="text2"/>
          <w:sz w:val="20"/>
          <w:szCs w:val="20"/>
        </w:rPr>
      </w:pPr>
    </w:p>
    <w:p w14:paraId="1CADAF5F" w14:textId="4687E3D6" w:rsidR="00BF19FA" w:rsidRDefault="00BF19FA" w:rsidP="00BF13C1">
      <w:pPr>
        <w:ind w:left="284"/>
        <w:jc w:val="both"/>
        <w:rPr>
          <w:rFonts w:asciiTheme="minorHAnsi" w:hAnsiTheme="minorHAnsi" w:cs="Arial"/>
          <w:b/>
          <w:bCs/>
          <w:color w:val="1F497D" w:themeColor="text2"/>
          <w:sz w:val="20"/>
          <w:szCs w:val="20"/>
        </w:rPr>
      </w:pPr>
    </w:p>
    <w:p w14:paraId="663C5DB5" w14:textId="682AC535" w:rsidR="00BF19FA" w:rsidRDefault="00BF19FA" w:rsidP="00BF13C1">
      <w:pPr>
        <w:ind w:left="284"/>
        <w:jc w:val="both"/>
        <w:rPr>
          <w:rFonts w:asciiTheme="minorHAnsi" w:hAnsiTheme="minorHAnsi" w:cs="Arial"/>
          <w:b/>
          <w:bCs/>
          <w:color w:val="1F497D" w:themeColor="text2"/>
          <w:sz w:val="20"/>
          <w:szCs w:val="20"/>
        </w:rPr>
      </w:pPr>
    </w:p>
    <w:p w14:paraId="4BDC7B43" w14:textId="723404F1" w:rsidR="00BF19FA" w:rsidRDefault="00BF19FA" w:rsidP="00BF13C1">
      <w:pPr>
        <w:ind w:left="284"/>
        <w:jc w:val="both"/>
        <w:rPr>
          <w:rFonts w:asciiTheme="minorHAnsi" w:hAnsiTheme="minorHAnsi" w:cs="Arial"/>
          <w:b/>
          <w:bCs/>
          <w:color w:val="1F497D" w:themeColor="text2"/>
          <w:sz w:val="20"/>
          <w:szCs w:val="20"/>
        </w:rPr>
      </w:pPr>
    </w:p>
    <w:p w14:paraId="50AE84DD" w14:textId="7E64E867" w:rsidR="00BF19FA" w:rsidRDefault="00BF19FA" w:rsidP="00BF13C1">
      <w:pPr>
        <w:ind w:left="284"/>
        <w:jc w:val="both"/>
        <w:rPr>
          <w:rFonts w:asciiTheme="minorHAnsi" w:hAnsiTheme="minorHAnsi" w:cs="Arial"/>
          <w:b/>
          <w:bCs/>
          <w:color w:val="1F497D" w:themeColor="text2"/>
          <w:sz w:val="20"/>
          <w:szCs w:val="20"/>
        </w:rPr>
      </w:pPr>
    </w:p>
    <w:p w14:paraId="0034A08C" w14:textId="672CD63E" w:rsidR="00BF19FA" w:rsidRDefault="00BF19FA" w:rsidP="00BF13C1">
      <w:pPr>
        <w:ind w:left="284"/>
        <w:jc w:val="both"/>
        <w:rPr>
          <w:rFonts w:asciiTheme="minorHAnsi" w:hAnsiTheme="minorHAnsi" w:cs="Arial"/>
          <w:b/>
          <w:bCs/>
          <w:color w:val="1F497D" w:themeColor="text2"/>
          <w:sz w:val="20"/>
          <w:szCs w:val="20"/>
        </w:rPr>
      </w:pPr>
    </w:p>
    <w:p w14:paraId="3E23EFB3" w14:textId="31643695" w:rsidR="00BF19FA" w:rsidRDefault="00BF19FA" w:rsidP="00BF13C1">
      <w:pPr>
        <w:ind w:left="284"/>
        <w:jc w:val="both"/>
        <w:rPr>
          <w:rFonts w:asciiTheme="minorHAnsi" w:hAnsiTheme="minorHAnsi" w:cs="Arial"/>
          <w:b/>
          <w:bCs/>
          <w:color w:val="1F497D" w:themeColor="text2"/>
          <w:sz w:val="20"/>
          <w:szCs w:val="20"/>
        </w:rPr>
      </w:pPr>
    </w:p>
    <w:p w14:paraId="6C8ED0D6" w14:textId="5248C297" w:rsidR="00BF19FA" w:rsidRDefault="00BF19FA" w:rsidP="00BF13C1">
      <w:pPr>
        <w:ind w:left="284"/>
        <w:jc w:val="both"/>
        <w:rPr>
          <w:rFonts w:asciiTheme="minorHAnsi" w:hAnsiTheme="minorHAnsi" w:cs="Arial"/>
          <w:b/>
          <w:bCs/>
          <w:color w:val="1F497D" w:themeColor="text2"/>
          <w:sz w:val="20"/>
          <w:szCs w:val="20"/>
        </w:rPr>
      </w:pPr>
    </w:p>
    <w:p w14:paraId="4C5DEBC7" w14:textId="77EF1FCF" w:rsidR="00BF19FA" w:rsidRDefault="00BF19FA" w:rsidP="00BF13C1">
      <w:pPr>
        <w:ind w:left="284"/>
        <w:jc w:val="both"/>
        <w:rPr>
          <w:rFonts w:asciiTheme="minorHAnsi" w:hAnsiTheme="minorHAnsi" w:cs="Arial"/>
          <w:b/>
          <w:bCs/>
          <w:color w:val="1F497D" w:themeColor="text2"/>
          <w:sz w:val="20"/>
          <w:szCs w:val="20"/>
        </w:rPr>
      </w:pPr>
    </w:p>
    <w:p w14:paraId="2BA44E79" w14:textId="737495B2" w:rsidR="00BF19FA" w:rsidRDefault="00BF19FA" w:rsidP="00BF13C1">
      <w:pPr>
        <w:ind w:left="284"/>
        <w:jc w:val="both"/>
        <w:rPr>
          <w:rFonts w:asciiTheme="minorHAnsi" w:hAnsiTheme="minorHAnsi" w:cs="Arial"/>
          <w:b/>
          <w:bCs/>
          <w:color w:val="1F497D" w:themeColor="text2"/>
          <w:sz w:val="20"/>
          <w:szCs w:val="20"/>
        </w:rPr>
      </w:pPr>
    </w:p>
    <w:p w14:paraId="5A9FBE6E" w14:textId="13638C67" w:rsidR="00BF19FA" w:rsidRDefault="00BF19FA" w:rsidP="00BF13C1">
      <w:pPr>
        <w:ind w:left="284"/>
        <w:jc w:val="both"/>
        <w:rPr>
          <w:rFonts w:asciiTheme="minorHAnsi" w:hAnsiTheme="minorHAnsi" w:cs="Arial"/>
          <w:b/>
          <w:bCs/>
          <w:color w:val="1F497D" w:themeColor="text2"/>
          <w:sz w:val="20"/>
          <w:szCs w:val="20"/>
        </w:rPr>
      </w:pPr>
    </w:p>
    <w:p w14:paraId="6D0DFD65" w14:textId="0706CF22" w:rsidR="00BF19FA" w:rsidRDefault="00BF19FA" w:rsidP="00BF13C1">
      <w:pPr>
        <w:ind w:left="284"/>
        <w:jc w:val="both"/>
        <w:rPr>
          <w:rFonts w:asciiTheme="minorHAnsi" w:hAnsiTheme="minorHAnsi" w:cs="Arial"/>
          <w:b/>
          <w:bCs/>
          <w:color w:val="1F497D" w:themeColor="text2"/>
          <w:sz w:val="20"/>
          <w:szCs w:val="20"/>
        </w:rPr>
      </w:pPr>
    </w:p>
    <w:p w14:paraId="2B44FF6E" w14:textId="2B1705FF" w:rsidR="00BF19FA" w:rsidRDefault="00BF19FA" w:rsidP="00BF13C1">
      <w:pPr>
        <w:ind w:left="284"/>
        <w:jc w:val="both"/>
        <w:rPr>
          <w:rFonts w:asciiTheme="minorHAnsi" w:hAnsiTheme="minorHAnsi" w:cs="Arial"/>
          <w:b/>
          <w:bCs/>
          <w:color w:val="1F497D" w:themeColor="text2"/>
          <w:sz w:val="20"/>
          <w:szCs w:val="20"/>
        </w:rPr>
      </w:pPr>
    </w:p>
    <w:p w14:paraId="2D4DD3D7" w14:textId="0C76D1BA" w:rsidR="00BF19FA" w:rsidRDefault="00BF19FA" w:rsidP="00BF13C1">
      <w:pPr>
        <w:ind w:left="284"/>
        <w:jc w:val="both"/>
        <w:rPr>
          <w:rFonts w:asciiTheme="minorHAnsi" w:hAnsiTheme="minorHAnsi" w:cs="Arial"/>
          <w:b/>
          <w:bCs/>
          <w:color w:val="1F497D" w:themeColor="text2"/>
          <w:sz w:val="20"/>
          <w:szCs w:val="20"/>
        </w:rPr>
      </w:pPr>
    </w:p>
    <w:p w14:paraId="455881EB" w14:textId="6A65B9F3" w:rsidR="00BF19FA" w:rsidRDefault="00BF19FA" w:rsidP="00BF13C1">
      <w:pPr>
        <w:ind w:left="284"/>
        <w:jc w:val="both"/>
        <w:rPr>
          <w:rFonts w:asciiTheme="minorHAnsi" w:hAnsiTheme="minorHAnsi" w:cs="Arial"/>
          <w:b/>
          <w:bCs/>
          <w:color w:val="1F497D" w:themeColor="text2"/>
          <w:sz w:val="20"/>
          <w:szCs w:val="20"/>
        </w:rPr>
      </w:pPr>
    </w:p>
    <w:p w14:paraId="5B9BA0FA" w14:textId="035C7208" w:rsidR="00BF19FA" w:rsidRDefault="00BF19FA" w:rsidP="00BF13C1">
      <w:pPr>
        <w:ind w:left="284"/>
        <w:jc w:val="both"/>
        <w:rPr>
          <w:rFonts w:asciiTheme="minorHAnsi" w:hAnsiTheme="minorHAnsi" w:cs="Arial"/>
          <w:b/>
          <w:bCs/>
          <w:color w:val="1F497D" w:themeColor="text2"/>
          <w:sz w:val="20"/>
          <w:szCs w:val="20"/>
        </w:rPr>
      </w:pPr>
    </w:p>
    <w:p w14:paraId="0C8F60F2" w14:textId="53307381" w:rsidR="00BF19FA" w:rsidRDefault="00BF19FA" w:rsidP="00BF13C1">
      <w:pPr>
        <w:ind w:left="284"/>
        <w:jc w:val="both"/>
        <w:rPr>
          <w:rFonts w:asciiTheme="minorHAnsi" w:hAnsiTheme="minorHAnsi" w:cs="Arial"/>
          <w:b/>
          <w:bCs/>
          <w:color w:val="1F497D" w:themeColor="text2"/>
          <w:sz w:val="20"/>
          <w:szCs w:val="20"/>
        </w:rPr>
      </w:pPr>
    </w:p>
    <w:p w14:paraId="04CBF51C" w14:textId="5C51B270" w:rsidR="00BF19FA" w:rsidRDefault="00BF19FA" w:rsidP="00BF13C1">
      <w:pPr>
        <w:ind w:left="284"/>
        <w:jc w:val="both"/>
        <w:rPr>
          <w:rFonts w:asciiTheme="minorHAnsi" w:hAnsiTheme="minorHAnsi" w:cs="Arial"/>
          <w:b/>
          <w:bCs/>
          <w:color w:val="1F497D" w:themeColor="text2"/>
          <w:sz w:val="20"/>
          <w:szCs w:val="20"/>
        </w:rPr>
      </w:pPr>
    </w:p>
    <w:p w14:paraId="45375C30" w14:textId="2A3A237E" w:rsidR="00BF19FA" w:rsidRDefault="00BF19FA" w:rsidP="00BF13C1">
      <w:pPr>
        <w:ind w:left="284"/>
        <w:jc w:val="both"/>
        <w:rPr>
          <w:rFonts w:asciiTheme="minorHAnsi" w:hAnsiTheme="minorHAnsi" w:cs="Arial"/>
          <w:b/>
          <w:bCs/>
          <w:color w:val="1F497D" w:themeColor="text2"/>
          <w:sz w:val="20"/>
          <w:szCs w:val="20"/>
        </w:rPr>
      </w:pPr>
    </w:p>
    <w:p w14:paraId="13706B6C" w14:textId="331D73CE" w:rsidR="00BF19FA" w:rsidRDefault="00BF19FA" w:rsidP="00BF13C1">
      <w:pPr>
        <w:ind w:left="284"/>
        <w:jc w:val="both"/>
        <w:rPr>
          <w:rFonts w:asciiTheme="minorHAnsi" w:hAnsiTheme="minorHAnsi" w:cs="Arial"/>
          <w:b/>
          <w:bCs/>
          <w:color w:val="1F497D" w:themeColor="text2"/>
          <w:sz w:val="20"/>
          <w:szCs w:val="20"/>
        </w:rPr>
      </w:pPr>
    </w:p>
    <w:p w14:paraId="0BF07723" w14:textId="601C9D65" w:rsidR="00BF19FA" w:rsidRDefault="00BF19FA" w:rsidP="00BF13C1">
      <w:pPr>
        <w:ind w:left="284"/>
        <w:jc w:val="both"/>
        <w:rPr>
          <w:rFonts w:asciiTheme="minorHAnsi" w:hAnsiTheme="minorHAnsi" w:cs="Arial"/>
          <w:b/>
          <w:bCs/>
          <w:color w:val="1F497D" w:themeColor="text2"/>
          <w:sz w:val="20"/>
          <w:szCs w:val="20"/>
        </w:rPr>
      </w:pPr>
    </w:p>
    <w:p w14:paraId="44CF2526" w14:textId="3881C863" w:rsidR="00BF19FA" w:rsidRDefault="00BF19FA" w:rsidP="00BF13C1">
      <w:pPr>
        <w:ind w:left="284"/>
        <w:jc w:val="both"/>
        <w:rPr>
          <w:rFonts w:asciiTheme="minorHAnsi" w:hAnsiTheme="minorHAnsi" w:cs="Arial"/>
          <w:b/>
          <w:bCs/>
          <w:color w:val="1F497D" w:themeColor="text2"/>
          <w:sz w:val="20"/>
          <w:szCs w:val="20"/>
        </w:rPr>
      </w:pPr>
    </w:p>
    <w:p w14:paraId="65F13F13" w14:textId="42C574E2" w:rsidR="00BF19FA" w:rsidRDefault="00BF19FA" w:rsidP="00BF13C1">
      <w:pPr>
        <w:ind w:left="284"/>
        <w:jc w:val="both"/>
        <w:rPr>
          <w:rFonts w:asciiTheme="minorHAnsi" w:hAnsiTheme="minorHAnsi" w:cs="Arial"/>
          <w:b/>
          <w:bCs/>
          <w:color w:val="1F497D" w:themeColor="text2"/>
          <w:sz w:val="20"/>
          <w:szCs w:val="20"/>
        </w:rPr>
      </w:pPr>
    </w:p>
    <w:p w14:paraId="2C21E90E" w14:textId="7D034184" w:rsidR="00BF19FA" w:rsidRDefault="00BF19FA" w:rsidP="00BF13C1">
      <w:pPr>
        <w:ind w:left="284"/>
        <w:jc w:val="both"/>
        <w:rPr>
          <w:rFonts w:asciiTheme="minorHAnsi" w:hAnsiTheme="minorHAnsi" w:cs="Arial"/>
          <w:b/>
          <w:bCs/>
          <w:color w:val="1F497D" w:themeColor="text2"/>
          <w:sz w:val="20"/>
          <w:szCs w:val="20"/>
        </w:rPr>
      </w:pPr>
    </w:p>
    <w:p w14:paraId="00F571F9" w14:textId="58838586" w:rsidR="00BF19FA" w:rsidRDefault="00BF19FA" w:rsidP="00BF13C1">
      <w:pPr>
        <w:ind w:left="284"/>
        <w:jc w:val="both"/>
        <w:rPr>
          <w:rFonts w:asciiTheme="minorHAnsi" w:hAnsiTheme="minorHAnsi" w:cs="Arial"/>
          <w:b/>
          <w:bCs/>
          <w:color w:val="1F497D" w:themeColor="text2"/>
          <w:sz w:val="20"/>
          <w:szCs w:val="20"/>
        </w:rPr>
      </w:pPr>
    </w:p>
    <w:p w14:paraId="48A64690" w14:textId="2E3FE8F2" w:rsidR="00BF19FA" w:rsidRDefault="00BF19FA" w:rsidP="00BF13C1">
      <w:pPr>
        <w:ind w:left="284"/>
        <w:jc w:val="both"/>
        <w:rPr>
          <w:rFonts w:asciiTheme="minorHAnsi" w:hAnsiTheme="minorHAnsi" w:cs="Arial"/>
          <w:b/>
          <w:bCs/>
          <w:color w:val="1F497D" w:themeColor="text2"/>
          <w:sz w:val="20"/>
          <w:szCs w:val="20"/>
        </w:rPr>
      </w:pPr>
    </w:p>
    <w:p w14:paraId="64D855D4" w14:textId="6507D7A1" w:rsidR="00BF19FA" w:rsidRDefault="00BF19FA" w:rsidP="00BF13C1">
      <w:pPr>
        <w:ind w:left="284"/>
        <w:jc w:val="both"/>
        <w:rPr>
          <w:rFonts w:asciiTheme="minorHAnsi" w:hAnsiTheme="minorHAnsi" w:cs="Arial"/>
          <w:b/>
          <w:bCs/>
          <w:color w:val="1F497D" w:themeColor="text2"/>
          <w:sz w:val="20"/>
          <w:szCs w:val="20"/>
        </w:rPr>
      </w:pPr>
    </w:p>
    <w:p w14:paraId="78E82FE3" w14:textId="151ECCCE" w:rsidR="00BF19FA" w:rsidRDefault="00BF19FA" w:rsidP="00BF13C1">
      <w:pPr>
        <w:ind w:left="284"/>
        <w:jc w:val="both"/>
        <w:rPr>
          <w:rFonts w:asciiTheme="minorHAnsi" w:hAnsiTheme="minorHAnsi" w:cs="Arial"/>
          <w:b/>
          <w:bCs/>
          <w:color w:val="1F497D" w:themeColor="text2"/>
          <w:sz w:val="20"/>
          <w:szCs w:val="20"/>
        </w:rPr>
      </w:pPr>
    </w:p>
    <w:p w14:paraId="59A3AFCF" w14:textId="74B1D7E3" w:rsidR="00BF19FA" w:rsidRDefault="00BF19FA" w:rsidP="00BF13C1">
      <w:pPr>
        <w:ind w:left="284"/>
        <w:jc w:val="both"/>
        <w:rPr>
          <w:rFonts w:asciiTheme="minorHAnsi" w:hAnsiTheme="minorHAnsi" w:cs="Arial"/>
          <w:b/>
          <w:bCs/>
          <w:color w:val="1F497D" w:themeColor="text2"/>
          <w:sz w:val="20"/>
          <w:szCs w:val="20"/>
        </w:rPr>
      </w:pPr>
    </w:p>
    <w:p w14:paraId="65B424C3" w14:textId="5E3FFFCF" w:rsidR="00BF19FA" w:rsidRDefault="00BF19FA" w:rsidP="00BF13C1">
      <w:pPr>
        <w:ind w:left="284"/>
        <w:jc w:val="both"/>
        <w:rPr>
          <w:rFonts w:asciiTheme="minorHAnsi" w:hAnsiTheme="minorHAnsi" w:cs="Arial"/>
          <w:b/>
          <w:bCs/>
          <w:color w:val="1F497D" w:themeColor="text2"/>
          <w:sz w:val="20"/>
          <w:szCs w:val="20"/>
        </w:rPr>
      </w:pPr>
    </w:p>
    <w:p w14:paraId="58459585" w14:textId="75F1EFDE" w:rsidR="00BF19FA" w:rsidRDefault="00BF19FA" w:rsidP="00BF13C1">
      <w:pPr>
        <w:ind w:left="284"/>
        <w:jc w:val="both"/>
        <w:rPr>
          <w:rFonts w:asciiTheme="minorHAnsi" w:hAnsiTheme="minorHAnsi" w:cs="Arial"/>
          <w:b/>
          <w:bCs/>
          <w:color w:val="1F497D" w:themeColor="text2"/>
          <w:sz w:val="20"/>
          <w:szCs w:val="20"/>
        </w:rPr>
      </w:pPr>
    </w:p>
    <w:p w14:paraId="5D8BFB74" w14:textId="7BFDBFBA" w:rsidR="00BF19FA" w:rsidRDefault="00BF19FA" w:rsidP="00BF13C1">
      <w:pPr>
        <w:ind w:left="284"/>
        <w:jc w:val="both"/>
        <w:rPr>
          <w:rFonts w:asciiTheme="minorHAnsi" w:hAnsiTheme="minorHAnsi" w:cs="Arial"/>
          <w:b/>
          <w:bCs/>
          <w:color w:val="1F497D" w:themeColor="text2"/>
          <w:sz w:val="20"/>
          <w:szCs w:val="20"/>
        </w:rPr>
      </w:pPr>
    </w:p>
    <w:p w14:paraId="6075EBA4" w14:textId="77777777" w:rsidR="0030431C" w:rsidRPr="0030431C" w:rsidRDefault="0030431C" w:rsidP="0030431C">
      <w:pPr>
        <w:keepNext/>
        <w:spacing w:before="120" w:after="120"/>
        <w:outlineLvl w:val="0"/>
        <w:rPr>
          <w:rFonts w:ascii="Calibri" w:hAnsi="Calibri"/>
          <w:b/>
        </w:rPr>
      </w:pPr>
      <w:r w:rsidRPr="0030431C">
        <w:rPr>
          <w:rFonts w:ascii="Calibri" w:hAnsi="Calibri"/>
          <w:b/>
        </w:rPr>
        <w:lastRenderedPageBreak/>
        <w:t>Oggetto dell’iniziativa</w:t>
      </w:r>
    </w:p>
    <w:p w14:paraId="26DDD423" w14:textId="32D3BE33" w:rsidR="0030431C" w:rsidRPr="006A051A" w:rsidRDefault="007676A3" w:rsidP="00C65DD1">
      <w:pPr>
        <w:spacing w:line="276" w:lineRule="auto"/>
        <w:jc w:val="both"/>
        <w:rPr>
          <w:rFonts w:ascii="Calibri" w:hAnsi="Calibri" w:cs="Arial"/>
          <w:sz w:val="20"/>
          <w:szCs w:val="20"/>
        </w:rPr>
      </w:pPr>
      <w:r w:rsidRPr="006A051A">
        <w:rPr>
          <w:rFonts w:ascii="Calibri" w:hAnsi="Calibri" w:cs="Arial"/>
          <w:b/>
          <w:sz w:val="20"/>
          <w:szCs w:val="20"/>
        </w:rPr>
        <w:t>Premessa.</w:t>
      </w:r>
      <w:r w:rsidRPr="006A051A">
        <w:rPr>
          <w:rFonts w:ascii="Calibri" w:hAnsi="Calibri" w:cs="Arial"/>
          <w:sz w:val="20"/>
          <w:szCs w:val="20"/>
        </w:rPr>
        <w:t xml:space="preserve"> </w:t>
      </w:r>
      <w:r w:rsidR="00D43518" w:rsidRPr="006A051A">
        <w:rPr>
          <w:rFonts w:ascii="Calibri" w:hAnsi="Calibri" w:cs="Arial"/>
          <w:sz w:val="20"/>
          <w:szCs w:val="20"/>
        </w:rPr>
        <w:t xml:space="preserve">L’obiettivo principale della presente iniziativa è quello di gestire, in modo centralizzato e omogeneo, il parco licenze Oracle e i servizi del Centro di Competenza Specialistica ad esso associati, adeguandoli, in termini quantitativi e qualitativi, con il </w:t>
      </w:r>
      <w:r w:rsidR="006A051A" w:rsidRPr="006A051A">
        <w:rPr>
          <w:rFonts w:ascii="Calibri" w:hAnsi="Calibri" w:cs="Arial"/>
          <w:sz w:val="20"/>
          <w:szCs w:val="20"/>
        </w:rPr>
        <w:t xml:space="preserve">piano </w:t>
      </w:r>
      <w:r w:rsidR="00D43518" w:rsidRPr="006A051A">
        <w:rPr>
          <w:rFonts w:ascii="Calibri" w:hAnsi="Calibri" w:cs="Arial"/>
          <w:sz w:val="20"/>
          <w:szCs w:val="20"/>
        </w:rPr>
        <w:t>evolutivo del sistema informa</w:t>
      </w:r>
      <w:r w:rsidR="00C65DD1" w:rsidRPr="006A051A">
        <w:rPr>
          <w:rFonts w:ascii="Calibri" w:hAnsi="Calibri" w:cs="Arial"/>
          <w:sz w:val="20"/>
          <w:szCs w:val="20"/>
        </w:rPr>
        <w:t xml:space="preserve">tivo dell’Istituto, al fine di </w:t>
      </w:r>
      <w:r w:rsidR="00D43518" w:rsidRPr="006A051A">
        <w:rPr>
          <w:rFonts w:ascii="Calibri" w:hAnsi="Calibri" w:cs="Arial"/>
          <w:sz w:val="20"/>
          <w:szCs w:val="20"/>
        </w:rPr>
        <w:t>garantire la continuità sia in termini di disponibilità che di ge</w:t>
      </w:r>
      <w:r w:rsidR="00C65DD1" w:rsidRPr="006A051A">
        <w:rPr>
          <w:rFonts w:ascii="Calibri" w:hAnsi="Calibri" w:cs="Arial"/>
          <w:sz w:val="20"/>
          <w:szCs w:val="20"/>
        </w:rPr>
        <w:t xml:space="preserve">stione del parco licenze Oracle ed </w:t>
      </w:r>
      <w:r w:rsidR="00D43518" w:rsidRPr="006A051A">
        <w:rPr>
          <w:rFonts w:ascii="Calibri" w:hAnsi="Calibri" w:cs="Arial"/>
          <w:sz w:val="20"/>
          <w:szCs w:val="20"/>
        </w:rPr>
        <w:t>avviare la fase di consolidamento e ottimizzazione</w:t>
      </w:r>
      <w:r w:rsidR="006A051A" w:rsidRPr="006A051A">
        <w:rPr>
          <w:rFonts w:ascii="Calibri" w:hAnsi="Calibri" w:cs="Arial"/>
          <w:sz w:val="20"/>
          <w:szCs w:val="20"/>
        </w:rPr>
        <w:t xml:space="preserve"> dello stesso.</w:t>
      </w:r>
    </w:p>
    <w:p w14:paraId="1B427214" w14:textId="43F42754" w:rsidR="002F52FE" w:rsidRPr="006A051A" w:rsidRDefault="002F52FE" w:rsidP="00A158F4">
      <w:pPr>
        <w:spacing w:before="120" w:after="120" w:line="276" w:lineRule="auto"/>
        <w:jc w:val="both"/>
        <w:rPr>
          <w:rFonts w:ascii="Calibri" w:hAnsi="Calibri" w:cs="Arial"/>
          <w:sz w:val="20"/>
          <w:szCs w:val="20"/>
        </w:rPr>
      </w:pPr>
      <w:r w:rsidRPr="006A051A">
        <w:rPr>
          <w:rFonts w:ascii="Calibri" w:hAnsi="Calibri" w:cs="Arial"/>
          <w:sz w:val="20"/>
          <w:szCs w:val="20"/>
        </w:rPr>
        <w:t>Le principali linee progettuali che l’Istituto intende perseguire per il prossimo triennio sono le seguenti:</w:t>
      </w:r>
    </w:p>
    <w:p w14:paraId="5F1F2D39" w14:textId="25BDBE46" w:rsidR="002F52FE" w:rsidRPr="006A051A" w:rsidRDefault="002F52FE" w:rsidP="002F52FE">
      <w:pPr>
        <w:pStyle w:val="Paragrafoelenco"/>
        <w:numPr>
          <w:ilvl w:val="0"/>
          <w:numId w:val="28"/>
        </w:numPr>
        <w:spacing w:before="120" w:after="120" w:line="276" w:lineRule="auto"/>
        <w:jc w:val="both"/>
        <w:rPr>
          <w:rFonts w:ascii="Calibri" w:hAnsi="Calibri" w:cs="Arial"/>
          <w:sz w:val="20"/>
          <w:szCs w:val="20"/>
        </w:rPr>
      </w:pPr>
      <w:r w:rsidRPr="006A051A">
        <w:rPr>
          <w:rFonts w:ascii="Calibri" w:hAnsi="Calibri" w:cs="Arial"/>
          <w:sz w:val="20"/>
          <w:szCs w:val="20"/>
        </w:rPr>
        <w:t>migrazione del DBMS alla release v12 e implementazione di progetti d</w:t>
      </w:r>
      <w:r w:rsidR="00C65DD1" w:rsidRPr="006A051A">
        <w:rPr>
          <w:rFonts w:ascii="Calibri" w:hAnsi="Calibri" w:cs="Arial"/>
          <w:sz w:val="20"/>
          <w:szCs w:val="20"/>
        </w:rPr>
        <w:t>i consolidamento del parco DBMS;</w:t>
      </w:r>
    </w:p>
    <w:p w14:paraId="69BF63FF" w14:textId="141E3042" w:rsidR="002F52FE" w:rsidRPr="006A051A" w:rsidRDefault="002F52FE" w:rsidP="002F52FE">
      <w:pPr>
        <w:pStyle w:val="Paragrafoelenco"/>
        <w:numPr>
          <w:ilvl w:val="0"/>
          <w:numId w:val="28"/>
        </w:numPr>
        <w:spacing w:before="120" w:after="120" w:line="276" w:lineRule="auto"/>
        <w:jc w:val="both"/>
        <w:rPr>
          <w:rFonts w:ascii="Calibri" w:hAnsi="Calibri" w:cs="Arial"/>
          <w:sz w:val="20"/>
          <w:szCs w:val="20"/>
        </w:rPr>
      </w:pPr>
      <w:r w:rsidRPr="006A051A">
        <w:rPr>
          <w:rFonts w:ascii="Calibri" w:hAnsi="Calibri" w:cs="Arial"/>
          <w:sz w:val="20"/>
          <w:szCs w:val="20"/>
        </w:rPr>
        <w:t>consolidamento delle aree applicative strumentali afferenti ai processi di contabilità, acquisti e</w:t>
      </w:r>
      <w:r w:rsidR="00C65DD1" w:rsidRPr="006A051A">
        <w:rPr>
          <w:rFonts w:ascii="Calibri" w:hAnsi="Calibri" w:cs="Arial"/>
          <w:sz w:val="20"/>
          <w:szCs w:val="20"/>
        </w:rPr>
        <w:t xml:space="preserve"> patrimonio (Progetto Back End);</w:t>
      </w:r>
    </w:p>
    <w:p w14:paraId="652DFF5C" w14:textId="203182D5" w:rsidR="00A158F4" w:rsidRPr="006A051A" w:rsidRDefault="00A158F4" w:rsidP="002F52FE">
      <w:pPr>
        <w:pStyle w:val="Paragrafoelenco"/>
        <w:numPr>
          <w:ilvl w:val="0"/>
          <w:numId w:val="28"/>
        </w:numPr>
        <w:spacing w:before="120" w:after="120" w:line="276" w:lineRule="auto"/>
        <w:jc w:val="both"/>
        <w:rPr>
          <w:rFonts w:ascii="Calibri" w:hAnsi="Calibri" w:cs="Arial"/>
          <w:sz w:val="20"/>
          <w:szCs w:val="20"/>
        </w:rPr>
      </w:pPr>
      <w:r w:rsidRPr="006A051A">
        <w:rPr>
          <w:rFonts w:ascii="Calibri" w:hAnsi="Calibri" w:cs="Arial"/>
          <w:sz w:val="20"/>
          <w:szCs w:val="20"/>
        </w:rPr>
        <w:t>utilizzo della data base machine EXADATA</w:t>
      </w:r>
      <w:r w:rsidR="00C13A1A" w:rsidRPr="006A051A">
        <w:rPr>
          <w:rFonts w:ascii="Calibri" w:hAnsi="Calibri" w:cs="Arial"/>
          <w:sz w:val="20"/>
          <w:szCs w:val="20"/>
        </w:rPr>
        <w:t xml:space="preserve"> e relativo software,</w:t>
      </w:r>
      <w:r w:rsidRPr="006A051A">
        <w:rPr>
          <w:rFonts w:ascii="Calibri" w:hAnsi="Calibri" w:cs="Arial"/>
          <w:sz w:val="20"/>
          <w:szCs w:val="20"/>
        </w:rPr>
        <w:t xml:space="preserve"> per conseguire una notevole concentrazione dei DB e quindi una riduzione dei processori impegnati;</w:t>
      </w:r>
    </w:p>
    <w:p w14:paraId="3913DC00" w14:textId="7EF69707" w:rsidR="00A158F4" w:rsidRDefault="00A158F4" w:rsidP="00A158F4">
      <w:pPr>
        <w:pStyle w:val="Paragrafoelenco"/>
        <w:numPr>
          <w:ilvl w:val="0"/>
          <w:numId w:val="28"/>
        </w:numPr>
        <w:spacing w:before="120" w:after="120" w:line="276" w:lineRule="auto"/>
        <w:jc w:val="both"/>
        <w:rPr>
          <w:rFonts w:ascii="Calibri" w:hAnsi="Calibri" w:cs="Arial"/>
          <w:sz w:val="20"/>
          <w:szCs w:val="20"/>
        </w:rPr>
      </w:pPr>
      <w:r w:rsidRPr="006A051A">
        <w:rPr>
          <w:rFonts w:ascii="Calibri" w:hAnsi="Calibri" w:cs="Arial"/>
          <w:sz w:val="20"/>
          <w:szCs w:val="20"/>
        </w:rPr>
        <w:t xml:space="preserve">migrazione a soluzioni </w:t>
      </w:r>
      <w:proofErr w:type="spellStart"/>
      <w:r w:rsidRPr="006A051A">
        <w:rPr>
          <w:rFonts w:ascii="Calibri" w:hAnsi="Calibri" w:cs="Arial"/>
          <w:sz w:val="20"/>
          <w:szCs w:val="20"/>
        </w:rPr>
        <w:t>Cloud@customer</w:t>
      </w:r>
      <w:proofErr w:type="spellEnd"/>
      <w:r w:rsidRPr="006A051A">
        <w:rPr>
          <w:rFonts w:ascii="Calibri" w:hAnsi="Calibri" w:cs="Arial"/>
          <w:sz w:val="20"/>
          <w:szCs w:val="20"/>
        </w:rPr>
        <w:t xml:space="preserve"> per il DBMS in relazione a tecnologie già in uso (camb</w:t>
      </w:r>
      <w:r w:rsidR="006A051A" w:rsidRPr="006A051A">
        <w:rPr>
          <w:rFonts w:ascii="Calibri" w:hAnsi="Calibri" w:cs="Arial"/>
          <w:sz w:val="20"/>
          <w:szCs w:val="20"/>
        </w:rPr>
        <w:t>io della modalità di fruizione).</w:t>
      </w:r>
    </w:p>
    <w:p w14:paraId="04780CFA" w14:textId="78581315" w:rsidR="007C4CA7" w:rsidRPr="007C4CA7" w:rsidRDefault="007C4CA7" w:rsidP="00D57E61">
      <w:pPr>
        <w:tabs>
          <w:tab w:val="left" w:pos="426"/>
        </w:tabs>
        <w:spacing w:before="120" w:after="120" w:line="276" w:lineRule="auto"/>
        <w:jc w:val="both"/>
        <w:rPr>
          <w:rFonts w:ascii="Calibri" w:hAnsi="Calibri" w:cs="Arial"/>
          <w:sz w:val="20"/>
          <w:szCs w:val="20"/>
        </w:rPr>
      </w:pPr>
      <w:r w:rsidRPr="007C4CA7">
        <w:rPr>
          <w:rFonts w:ascii="Calibri" w:hAnsi="Calibri" w:cs="Arial"/>
          <w:sz w:val="20"/>
          <w:szCs w:val="20"/>
        </w:rPr>
        <w:t xml:space="preserve">Nell’ottica della nuova modalità di erogazione dei servizi e di conduzione dei processi, </w:t>
      </w:r>
      <w:r>
        <w:rPr>
          <w:rFonts w:ascii="Calibri" w:hAnsi="Calibri" w:cs="Arial"/>
          <w:sz w:val="20"/>
          <w:szCs w:val="20"/>
        </w:rPr>
        <w:t>INAIL</w:t>
      </w:r>
      <w:r w:rsidRPr="007C4CA7">
        <w:rPr>
          <w:rFonts w:ascii="Calibri" w:hAnsi="Calibri" w:cs="Arial"/>
          <w:sz w:val="20"/>
          <w:szCs w:val="20"/>
        </w:rPr>
        <w:t xml:space="preserve"> ha elaborato per il triennio 2017-2019 un piano di implementazione di progetti che si è basato sui seguenti quattro pilastri fondamentali, all’interno dei quali sono presenti in modalità trasversale le tecnologie Oracle in uso presso l’Istituto:</w:t>
      </w:r>
    </w:p>
    <w:p w14:paraId="0C96766A" w14:textId="77777777" w:rsidR="007C4CA7" w:rsidRPr="007C4CA7" w:rsidRDefault="007C4CA7" w:rsidP="00D57E61">
      <w:pPr>
        <w:tabs>
          <w:tab w:val="left" w:pos="284"/>
        </w:tabs>
        <w:spacing w:before="120" w:after="120" w:line="276" w:lineRule="auto"/>
        <w:jc w:val="both"/>
        <w:rPr>
          <w:rFonts w:ascii="Calibri" w:hAnsi="Calibri" w:cs="Arial"/>
          <w:sz w:val="20"/>
          <w:szCs w:val="20"/>
        </w:rPr>
      </w:pPr>
      <w:r w:rsidRPr="007C4CA7">
        <w:rPr>
          <w:rFonts w:ascii="Calibri" w:hAnsi="Calibri" w:cs="Arial"/>
          <w:sz w:val="20"/>
          <w:szCs w:val="20"/>
        </w:rPr>
        <w:t>1.</w:t>
      </w:r>
      <w:r w:rsidRPr="007C4CA7">
        <w:rPr>
          <w:rFonts w:ascii="Calibri" w:hAnsi="Calibri" w:cs="Arial"/>
          <w:sz w:val="20"/>
          <w:szCs w:val="20"/>
        </w:rPr>
        <w:tab/>
        <w:t>Front End - La capacità di connettere in modo Digitale l’Istituto e i suoi Stakeholder per consentire l’erogazione da remoto dei servizi basati sul solo scambio informativo;</w:t>
      </w:r>
    </w:p>
    <w:p w14:paraId="03497EB4" w14:textId="77777777" w:rsidR="007C4CA7" w:rsidRPr="007C4CA7" w:rsidRDefault="007C4CA7" w:rsidP="00D57E61">
      <w:pPr>
        <w:tabs>
          <w:tab w:val="left" w:pos="284"/>
        </w:tabs>
        <w:spacing w:before="120" w:after="120" w:line="276" w:lineRule="auto"/>
        <w:jc w:val="both"/>
        <w:rPr>
          <w:rFonts w:ascii="Calibri" w:hAnsi="Calibri" w:cs="Arial"/>
          <w:sz w:val="20"/>
          <w:szCs w:val="20"/>
        </w:rPr>
      </w:pPr>
      <w:r w:rsidRPr="007C4CA7">
        <w:rPr>
          <w:rFonts w:ascii="Calibri" w:hAnsi="Calibri" w:cs="Arial"/>
          <w:sz w:val="20"/>
          <w:szCs w:val="20"/>
        </w:rPr>
        <w:t>2.</w:t>
      </w:r>
      <w:r w:rsidRPr="007C4CA7">
        <w:rPr>
          <w:rFonts w:ascii="Calibri" w:hAnsi="Calibri" w:cs="Arial"/>
          <w:sz w:val="20"/>
          <w:szCs w:val="20"/>
        </w:rPr>
        <w:tab/>
        <w:t>Information - La capacità di trasformare l’enorme patrimonio di dati raccolti dall’Istituto in conoscenza, per indirizzare al meglio le attività dell’Istituto;</w:t>
      </w:r>
    </w:p>
    <w:p w14:paraId="358E69BA" w14:textId="77777777" w:rsidR="007C4CA7" w:rsidRPr="007C4CA7" w:rsidRDefault="007C4CA7" w:rsidP="00D57E61">
      <w:pPr>
        <w:tabs>
          <w:tab w:val="left" w:pos="426"/>
        </w:tabs>
        <w:spacing w:before="120" w:after="120" w:line="276" w:lineRule="auto"/>
        <w:jc w:val="both"/>
        <w:rPr>
          <w:rFonts w:ascii="Calibri" w:hAnsi="Calibri" w:cs="Arial"/>
          <w:sz w:val="20"/>
          <w:szCs w:val="20"/>
        </w:rPr>
      </w:pPr>
      <w:r w:rsidRPr="007C4CA7">
        <w:rPr>
          <w:rFonts w:ascii="Calibri" w:hAnsi="Calibri" w:cs="Arial"/>
          <w:sz w:val="20"/>
          <w:szCs w:val="20"/>
        </w:rPr>
        <w:t>3.</w:t>
      </w:r>
      <w:r w:rsidRPr="007C4CA7">
        <w:rPr>
          <w:rFonts w:ascii="Calibri" w:hAnsi="Calibri" w:cs="Arial"/>
          <w:sz w:val="20"/>
          <w:szCs w:val="20"/>
        </w:rPr>
        <w:tab/>
        <w:t>Back End - La capacità di appoggiare le attività istituzionali dell’Istituto su una infrastruttura robusta e standard di processi operativi negli ambiti, tra gli altri, del Acquisti e Ciclo Passivo, Pianificazione e Controllo, Contabilità e Bilancio, Patrimonio e Risorse Umane;</w:t>
      </w:r>
    </w:p>
    <w:p w14:paraId="337AD01A" w14:textId="77777777" w:rsidR="007C4CA7" w:rsidRPr="007C4CA7" w:rsidRDefault="007C4CA7" w:rsidP="00D57E61">
      <w:pPr>
        <w:tabs>
          <w:tab w:val="left" w:pos="426"/>
        </w:tabs>
        <w:spacing w:before="120" w:after="120" w:line="276" w:lineRule="auto"/>
        <w:jc w:val="both"/>
        <w:rPr>
          <w:rFonts w:ascii="Calibri" w:hAnsi="Calibri" w:cs="Arial"/>
          <w:sz w:val="20"/>
          <w:szCs w:val="20"/>
        </w:rPr>
      </w:pPr>
      <w:r w:rsidRPr="007C4CA7">
        <w:rPr>
          <w:rFonts w:ascii="Calibri" w:hAnsi="Calibri" w:cs="Arial"/>
          <w:sz w:val="20"/>
          <w:szCs w:val="20"/>
        </w:rPr>
        <w:t>4.</w:t>
      </w:r>
      <w:r w:rsidRPr="007C4CA7">
        <w:rPr>
          <w:rFonts w:ascii="Calibri" w:hAnsi="Calibri" w:cs="Arial"/>
          <w:sz w:val="20"/>
          <w:szCs w:val="20"/>
        </w:rPr>
        <w:tab/>
        <w:t>IT Innovation - L’insieme delle capacità organizzative, di processo, tecnologiche e di competenze professionali necessarie per realizzare la presente strategia IT.</w:t>
      </w:r>
    </w:p>
    <w:p w14:paraId="1C0F3783" w14:textId="777F018F"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Il contesto attuale e del prossimo futuro, in cui l’Istituto opera e si troverà ad operare, è determinato dall’esigenza di completare la trasformazione digitale dell’Ente in modo da soddisfare le aspettative presenti e future degli utenti, incrementando i servizi digitali offerti e rimodellando i processi istituzionali e di back end nell’ottica di massimizzare i vantaggi offerti dalle tecnologie digitali e dalla standardizzazione delle soluzioni adottate. Nel contempo devono essere rispettate le esigenze di un budget decrescente, che deve destinare risorse maggiori ai programmi di innovazione riducendo le spese correnti destinate al funzionamento.</w:t>
      </w:r>
      <w:r>
        <w:rPr>
          <w:rFonts w:ascii="Calibri" w:hAnsi="Calibri" w:cs="Arial"/>
          <w:sz w:val="20"/>
          <w:szCs w:val="20"/>
        </w:rPr>
        <w:t xml:space="preserve"> </w:t>
      </w:r>
      <w:r w:rsidRPr="007C4CA7">
        <w:rPr>
          <w:rFonts w:ascii="Calibri" w:hAnsi="Calibri" w:cs="Arial"/>
          <w:sz w:val="20"/>
          <w:szCs w:val="20"/>
        </w:rPr>
        <w:t>L’Istituto in tal modo, intende contribuire a facilitare l’adozione del Cloud nella PA, in modo che anche gli Enti meno dotati di competenze e risorse possano approfittare dei vantaggi del Cloud e accelerare il proprio percorso di trasformazione verso il digitale.</w:t>
      </w:r>
    </w:p>
    <w:p w14:paraId="3A03304D" w14:textId="68B9B50C" w:rsidR="007C4CA7" w:rsidRPr="00B86025" w:rsidRDefault="007C4CA7" w:rsidP="007C4CA7">
      <w:pPr>
        <w:spacing w:before="120" w:after="120" w:line="276" w:lineRule="auto"/>
        <w:jc w:val="both"/>
        <w:rPr>
          <w:rFonts w:ascii="Calibri" w:hAnsi="Calibri" w:cs="Arial"/>
          <w:b/>
          <w:sz w:val="20"/>
          <w:szCs w:val="20"/>
        </w:rPr>
      </w:pPr>
      <w:r w:rsidRPr="00B86025">
        <w:rPr>
          <w:rFonts w:ascii="Calibri" w:hAnsi="Calibri" w:cs="Arial"/>
          <w:b/>
          <w:sz w:val="20"/>
          <w:szCs w:val="20"/>
        </w:rPr>
        <w:t>Contesto funzionale</w:t>
      </w:r>
      <w:r>
        <w:rPr>
          <w:rFonts w:ascii="Calibri" w:hAnsi="Calibri" w:cs="Arial"/>
          <w:b/>
          <w:sz w:val="20"/>
          <w:szCs w:val="20"/>
        </w:rPr>
        <w:t xml:space="preserve">. </w:t>
      </w:r>
    </w:p>
    <w:p w14:paraId="2760D516" w14:textId="77777777"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Le principali macro-aree applicative dell’Istituto, all’interno delle quale il parco tecnologico Oracle trova un utilizzo consistente, sono le seguenti:</w:t>
      </w:r>
    </w:p>
    <w:p w14:paraId="48DB8209" w14:textId="0ED3CF08"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lastRenderedPageBreak/>
        <w:t>•</w:t>
      </w:r>
      <w:r w:rsidRPr="007C4CA7">
        <w:rPr>
          <w:rFonts w:ascii="Calibri" w:hAnsi="Calibri" w:cs="Arial"/>
          <w:sz w:val="20"/>
          <w:szCs w:val="20"/>
        </w:rPr>
        <w:tab/>
        <w:t>sistemi “servizi web on-line e cooperazione applicativa”, che gestiscono i servizi web on-line per i cittadini, le imprese, la cooperazione e l’interoperabilità con le altre amministrazioni</w:t>
      </w:r>
      <w:r>
        <w:rPr>
          <w:rFonts w:ascii="Calibri" w:hAnsi="Calibri" w:cs="Arial"/>
          <w:sz w:val="20"/>
          <w:szCs w:val="20"/>
        </w:rPr>
        <w:t xml:space="preserve"> </w:t>
      </w:r>
      <w:r w:rsidRPr="007C4CA7">
        <w:rPr>
          <w:rFonts w:ascii="Calibri" w:hAnsi="Calibri" w:cs="Arial"/>
          <w:sz w:val="20"/>
          <w:szCs w:val="20"/>
        </w:rPr>
        <w:t>(</w:t>
      </w:r>
      <w:proofErr w:type="spellStart"/>
      <w:r w:rsidRPr="007C4CA7">
        <w:rPr>
          <w:rFonts w:ascii="Calibri" w:hAnsi="Calibri" w:cs="Arial"/>
          <w:sz w:val="20"/>
          <w:szCs w:val="20"/>
        </w:rPr>
        <w:t>WebLogic</w:t>
      </w:r>
      <w:proofErr w:type="spellEnd"/>
      <w:r w:rsidRPr="007C4CA7">
        <w:rPr>
          <w:rFonts w:ascii="Calibri" w:hAnsi="Calibri" w:cs="Arial"/>
          <w:sz w:val="20"/>
          <w:szCs w:val="20"/>
        </w:rPr>
        <w:t xml:space="preserve"> Suite, </w:t>
      </w:r>
      <w:proofErr w:type="spellStart"/>
      <w:r w:rsidRPr="007C4CA7">
        <w:rPr>
          <w:rFonts w:ascii="Calibri" w:hAnsi="Calibri" w:cs="Arial"/>
          <w:sz w:val="20"/>
          <w:szCs w:val="20"/>
        </w:rPr>
        <w:t>WebCenter</w:t>
      </w:r>
      <w:proofErr w:type="spellEnd"/>
      <w:r w:rsidRPr="007C4CA7">
        <w:rPr>
          <w:rFonts w:ascii="Calibri" w:hAnsi="Calibri" w:cs="Arial"/>
          <w:sz w:val="20"/>
          <w:szCs w:val="20"/>
        </w:rPr>
        <w:t xml:space="preserve"> Suite, SOA Suite);</w:t>
      </w:r>
    </w:p>
    <w:p w14:paraId="28187354" w14:textId="3AA954B8"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w:t>
      </w:r>
      <w:r w:rsidRPr="007C4CA7">
        <w:rPr>
          <w:rFonts w:ascii="Calibri" w:hAnsi="Calibri" w:cs="Arial"/>
          <w:sz w:val="20"/>
          <w:szCs w:val="20"/>
        </w:rPr>
        <w:tab/>
        <w:t xml:space="preserve">sistemi “open per la gestione delle infrastrutture dati”, per la produzione ed erogazione dei servizi connessi alla </w:t>
      </w:r>
      <w:proofErr w:type="spellStart"/>
      <w:r w:rsidRPr="007C4CA7">
        <w:rPr>
          <w:rFonts w:ascii="Calibri" w:hAnsi="Calibri" w:cs="Arial"/>
          <w:sz w:val="20"/>
          <w:szCs w:val="20"/>
        </w:rPr>
        <w:t>mission</w:t>
      </w:r>
      <w:proofErr w:type="spellEnd"/>
      <w:r w:rsidRPr="007C4CA7">
        <w:rPr>
          <w:rFonts w:ascii="Calibri" w:hAnsi="Calibri" w:cs="Arial"/>
          <w:sz w:val="20"/>
          <w:szCs w:val="20"/>
        </w:rPr>
        <w:t xml:space="preserve"> aziendale e al funzionamento dell’Istituto</w:t>
      </w:r>
      <w:r w:rsidR="00173486">
        <w:rPr>
          <w:rFonts w:ascii="Calibri" w:hAnsi="Calibri" w:cs="Arial"/>
          <w:sz w:val="20"/>
          <w:szCs w:val="20"/>
        </w:rPr>
        <w:t xml:space="preserve"> (</w:t>
      </w:r>
      <w:proofErr w:type="spellStart"/>
      <w:r w:rsidR="00173486">
        <w:rPr>
          <w:rFonts w:ascii="Calibri" w:hAnsi="Calibri" w:cs="Arial"/>
          <w:sz w:val="20"/>
          <w:szCs w:val="20"/>
        </w:rPr>
        <w:t>Exadata</w:t>
      </w:r>
      <w:proofErr w:type="spellEnd"/>
      <w:r w:rsidR="00173486">
        <w:rPr>
          <w:rFonts w:ascii="Calibri" w:hAnsi="Calibri" w:cs="Arial"/>
          <w:sz w:val="20"/>
          <w:szCs w:val="20"/>
        </w:rPr>
        <w:t>)</w:t>
      </w:r>
      <w:r w:rsidRPr="007C4CA7">
        <w:rPr>
          <w:rFonts w:ascii="Calibri" w:hAnsi="Calibri" w:cs="Arial"/>
          <w:sz w:val="20"/>
          <w:szCs w:val="20"/>
        </w:rPr>
        <w:t>;</w:t>
      </w:r>
    </w:p>
    <w:p w14:paraId="4D0D321C" w14:textId="2045ACA0"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w:t>
      </w:r>
      <w:r w:rsidRPr="007C4CA7">
        <w:rPr>
          <w:rFonts w:ascii="Calibri" w:hAnsi="Calibri" w:cs="Arial"/>
          <w:sz w:val="20"/>
          <w:szCs w:val="20"/>
        </w:rPr>
        <w:tab/>
        <w:t xml:space="preserve">sistemi “di </w:t>
      </w:r>
      <w:proofErr w:type="spellStart"/>
      <w:r w:rsidRPr="007C4CA7">
        <w:rPr>
          <w:rFonts w:ascii="Calibri" w:hAnsi="Calibri" w:cs="Arial"/>
          <w:sz w:val="20"/>
          <w:szCs w:val="20"/>
        </w:rPr>
        <w:t>datawarehouse</w:t>
      </w:r>
      <w:proofErr w:type="spellEnd"/>
      <w:r w:rsidRPr="007C4CA7">
        <w:rPr>
          <w:rFonts w:ascii="Calibri" w:hAnsi="Calibri" w:cs="Arial"/>
          <w:sz w:val="20"/>
          <w:szCs w:val="20"/>
        </w:rPr>
        <w:t xml:space="preserve"> e software di analisi”, che forniscono gli strumenti per l’analisi dei dati e di supporto alle attività di prevenzione degli infortuni e attività di vigilanza</w:t>
      </w:r>
      <w:r w:rsidR="001C0525" w:rsidRPr="001C0525">
        <w:rPr>
          <w:rFonts w:ascii="Calibri" w:hAnsi="Calibri" w:cs="Arial"/>
          <w:sz w:val="20"/>
          <w:szCs w:val="20"/>
        </w:rPr>
        <w:t xml:space="preserve"> </w:t>
      </w:r>
      <w:r w:rsidR="001C0525">
        <w:rPr>
          <w:rFonts w:ascii="Calibri" w:hAnsi="Calibri" w:cs="Arial"/>
          <w:sz w:val="20"/>
          <w:szCs w:val="20"/>
        </w:rPr>
        <w:t>(</w:t>
      </w:r>
      <w:r w:rsidR="001C0525" w:rsidRPr="007C4CA7">
        <w:rPr>
          <w:rFonts w:ascii="Calibri" w:hAnsi="Calibri" w:cs="Arial"/>
          <w:sz w:val="20"/>
          <w:szCs w:val="20"/>
        </w:rPr>
        <w:t>Oracle Business Intelligence</w:t>
      </w:r>
      <w:r w:rsidR="001C0525">
        <w:rPr>
          <w:rFonts w:ascii="Calibri" w:hAnsi="Calibri" w:cs="Arial"/>
          <w:sz w:val="20"/>
          <w:szCs w:val="20"/>
        </w:rPr>
        <w:t>)</w:t>
      </w:r>
      <w:r w:rsidRPr="007C4CA7">
        <w:rPr>
          <w:rFonts w:ascii="Calibri" w:hAnsi="Calibri" w:cs="Arial"/>
          <w:sz w:val="20"/>
          <w:szCs w:val="20"/>
        </w:rPr>
        <w:t>;</w:t>
      </w:r>
    </w:p>
    <w:p w14:paraId="0E4838C9" w14:textId="56CED1D5"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w:t>
      </w:r>
      <w:r w:rsidRPr="007C4CA7">
        <w:rPr>
          <w:rFonts w:ascii="Calibri" w:hAnsi="Calibri" w:cs="Arial"/>
          <w:sz w:val="20"/>
          <w:szCs w:val="20"/>
        </w:rPr>
        <w:tab/>
        <w:t xml:space="preserve">sistemi “software strumentale”, a supporto dei processi e servizi connessi al funzionamento dell’Ente e che ricadono nel contesto applicativo del Back End (Contabilità, Gestione del Personale, Controllo di Gestione, Gestione del Patrimonio Immobiliare, </w:t>
      </w:r>
      <w:r w:rsidR="001C0525">
        <w:rPr>
          <w:rFonts w:ascii="Calibri" w:hAnsi="Calibri" w:cs="Arial"/>
          <w:sz w:val="20"/>
          <w:szCs w:val="20"/>
        </w:rPr>
        <w:t>Acquisti e ciclo passivo</w:t>
      </w:r>
      <w:r w:rsidRPr="007C4CA7">
        <w:rPr>
          <w:rFonts w:ascii="Calibri" w:hAnsi="Calibri" w:cs="Arial"/>
          <w:sz w:val="20"/>
          <w:szCs w:val="20"/>
        </w:rPr>
        <w:t>).</w:t>
      </w:r>
    </w:p>
    <w:p w14:paraId="1FE1702B" w14:textId="2B6305D0" w:rsidR="007C4CA7" w:rsidRPr="00B86025" w:rsidRDefault="007C4CA7" w:rsidP="007C4CA7">
      <w:pPr>
        <w:spacing w:before="120" w:after="120" w:line="276" w:lineRule="auto"/>
        <w:jc w:val="both"/>
        <w:rPr>
          <w:rFonts w:ascii="Calibri" w:hAnsi="Calibri" w:cs="Arial"/>
          <w:b/>
          <w:sz w:val="20"/>
          <w:szCs w:val="20"/>
        </w:rPr>
      </w:pPr>
      <w:r w:rsidRPr="00B86025">
        <w:rPr>
          <w:rFonts w:ascii="Calibri" w:hAnsi="Calibri" w:cs="Arial"/>
          <w:b/>
          <w:sz w:val="20"/>
          <w:szCs w:val="20"/>
        </w:rPr>
        <w:t>Architettura di riferimento</w:t>
      </w:r>
    </w:p>
    <w:p w14:paraId="2698E270" w14:textId="77777777"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 xml:space="preserve">All’interno della Direzione Centrale per l’Organizzazione Digitale (DCOD), è stata stabilita una suddivisione architetturale delle applicazioni web complete nei classici </w:t>
      </w:r>
      <w:proofErr w:type="spellStart"/>
      <w:r w:rsidRPr="007C4CA7">
        <w:rPr>
          <w:rFonts w:ascii="Calibri" w:hAnsi="Calibri" w:cs="Arial"/>
          <w:sz w:val="20"/>
          <w:szCs w:val="20"/>
        </w:rPr>
        <w:t>three-tier</w:t>
      </w:r>
      <w:proofErr w:type="spellEnd"/>
      <w:r w:rsidRPr="007C4CA7">
        <w:rPr>
          <w:rFonts w:ascii="Calibri" w:hAnsi="Calibri" w:cs="Arial"/>
          <w:sz w:val="20"/>
          <w:szCs w:val="20"/>
        </w:rPr>
        <w:t xml:space="preserve"> per l’architettura tradizionale:</w:t>
      </w:r>
    </w:p>
    <w:p w14:paraId="52339ABC" w14:textId="77777777" w:rsidR="007C4CA7" w:rsidRPr="00B86025" w:rsidRDefault="007C4CA7" w:rsidP="007C4CA7">
      <w:pPr>
        <w:spacing w:before="120" w:after="120" w:line="276" w:lineRule="auto"/>
        <w:jc w:val="both"/>
        <w:rPr>
          <w:rFonts w:ascii="Calibri" w:hAnsi="Calibri" w:cs="Arial"/>
          <w:sz w:val="20"/>
          <w:szCs w:val="20"/>
          <w:lang w:val="en-US"/>
        </w:rPr>
      </w:pPr>
      <w:r w:rsidRPr="00B86025">
        <w:rPr>
          <w:rFonts w:ascii="Calibri" w:hAnsi="Calibri" w:cs="Arial"/>
          <w:sz w:val="20"/>
          <w:szCs w:val="20"/>
          <w:lang w:val="en-US"/>
        </w:rPr>
        <w:t>•</w:t>
      </w:r>
      <w:r w:rsidRPr="00B86025">
        <w:rPr>
          <w:rFonts w:ascii="Calibri" w:hAnsi="Calibri" w:cs="Arial"/>
          <w:sz w:val="20"/>
          <w:szCs w:val="20"/>
          <w:lang w:val="en-US"/>
        </w:rPr>
        <w:tab/>
        <w:t>Front end layer;</w:t>
      </w:r>
    </w:p>
    <w:p w14:paraId="20C3F30B" w14:textId="77777777" w:rsidR="007C4CA7" w:rsidRPr="00B86025" w:rsidRDefault="007C4CA7" w:rsidP="007C4CA7">
      <w:pPr>
        <w:spacing w:before="120" w:after="120" w:line="276" w:lineRule="auto"/>
        <w:jc w:val="both"/>
        <w:rPr>
          <w:rFonts w:ascii="Calibri" w:hAnsi="Calibri" w:cs="Arial"/>
          <w:sz w:val="20"/>
          <w:szCs w:val="20"/>
          <w:lang w:val="en-US"/>
        </w:rPr>
      </w:pPr>
      <w:r w:rsidRPr="00B86025">
        <w:rPr>
          <w:rFonts w:ascii="Calibri" w:hAnsi="Calibri" w:cs="Arial"/>
          <w:sz w:val="20"/>
          <w:szCs w:val="20"/>
          <w:lang w:val="en-US"/>
        </w:rPr>
        <w:t>•</w:t>
      </w:r>
      <w:r w:rsidRPr="00B86025">
        <w:rPr>
          <w:rFonts w:ascii="Calibri" w:hAnsi="Calibri" w:cs="Arial"/>
          <w:sz w:val="20"/>
          <w:szCs w:val="20"/>
          <w:lang w:val="en-US"/>
        </w:rPr>
        <w:tab/>
        <w:t>Business layer;</w:t>
      </w:r>
    </w:p>
    <w:p w14:paraId="184FB12F" w14:textId="77777777"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w:t>
      </w:r>
      <w:r w:rsidRPr="007C4CA7">
        <w:rPr>
          <w:rFonts w:ascii="Calibri" w:hAnsi="Calibri" w:cs="Arial"/>
          <w:sz w:val="20"/>
          <w:szCs w:val="20"/>
        </w:rPr>
        <w:tab/>
        <w:t xml:space="preserve">Data </w:t>
      </w:r>
      <w:proofErr w:type="spellStart"/>
      <w:r w:rsidRPr="007C4CA7">
        <w:rPr>
          <w:rFonts w:ascii="Calibri" w:hAnsi="Calibri" w:cs="Arial"/>
          <w:sz w:val="20"/>
          <w:szCs w:val="20"/>
        </w:rPr>
        <w:t>layer</w:t>
      </w:r>
      <w:proofErr w:type="spellEnd"/>
      <w:r w:rsidRPr="007C4CA7">
        <w:rPr>
          <w:rFonts w:ascii="Calibri" w:hAnsi="Calibri" w:cs="Arial"/>
          <w:sz w:val="20"/>
          <w:szCs w:val="20"/>
        </w:rPr>
        <w:t>;</w:t>
      </w:r>
    </w:p>
    <w:p w14:paraId="550CEA11" w14:textId="45329986" w:rsid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 xml:space="preserve">con il supporto di componenti SOA - Service </w:t>
      </w:r>
      <w:proofErr w:type="spellStart"/>
      <w:r w:rsidRPr="007C4CA7">
        <w:rPr>
          <w:rFonts w:ascii="Calibri" w:hAnsi="Calibri" w:cs="Arial"/>
          <w:sz w:val="20"/>
          <w:szCs w:val="20"/>
        </w:rPr>
        <w:t>Oriented</w:t>
      </w:r>
      <w:proofErr w:type="spellEnd"/>
      <w:r w:rsidRPr="007C4CA7">
        <w:rPr>
          <w:rFonts w:ascii="Calibri" w:hAnsi="Calibri" w:cs="Arial"/>
          <w:sz w:val="20"/>
          <w:szCs w:val="20"/>
        </w:rPr>
        <w:t xml:space="preserve"> Architecture, CMS – Content Management System e PDD – Porta di Dominio. Di seguito si riporta la Distribuzione Tecnologia Orizzontale in ottica licenze Oracle per le applicazioni create a supporto dell’Istituto nell’erogazione dei suoi servizi.</w:t>
      </w:r>
    </w:p>
    <w:p w14:paraId="41388B50" w14:textId="17963077" w:rsidR="001C0525" w:rsidRPr="007C4CA7" w:rsidRDefault="001C0525" w:rsidP="00B86025">
      <w:pPr>
        <w:spacing w:before="120" w:after="120" w:line="276" w:lineRule="auto"/>
        <w:jc w:val="center"/>
        <w:rPr>
          <w:rFonts w:ascii="Calibri" w:hAnsi="Calibri" w:cs="Arial"/>
          <w:sz w:val="20"/>
          <w:szCs w:val="20"/>
        </w:rPr>
      </w:pPr>
      <w:r>
        <w:rPr>
          <w:rFonts w:ascii="Calibri" w:hAnsi="Calibri" w:cs="Arial"/>
          <w:sz w:val="20"/>
          <w:szCs w:val="20"/>
        </w:rPr>
        <w:t>***</w:t>
      </w:r>
    </w:p>
    <w:p w14:paraId="09442562" w14:textId="3D2784CF" w:rsidR="00B4481F" w:rsidRPr="006A051A" w:rsidRDefault="00B4481F" w:rsidP="006A051A">
      <w:pPr>
        <w:spacing w:before="120" w:after="120" w:line="360" w:lineRule="auto"/>
        <w:jc w:val="both"/>
        <w:rPr>
          <w:rFonts w:ascii="Calibri" w:hAnsi="Calibri" w:cs="Arial"/>
          <w:sz w:val="20"/>
          <w:szCs w:val="20"/>
        </w:rPr>
      </w:pPr>
      <w:r w:rsidRPr="006A051A">
        <w:rPr>
          <w:rFonts w:ascii="Calibri" w:hAnsi="Calibri" w:cs="Arial"/>
          <w:sz w:val="20"/>
          <w:szCs w:val="20"/>
        </w:rPr>
        <w:t xml:space="preserve">Nell’ambito dell’adozione di un modello ispirato alla filosofia Cloud, l’Istituto necessita di utilizzare servizi di </w:t>
      </w:r>
      <w:proofErr w:type="spellStart"/>
      <w:r w:rsidRPr="006A051A">
        <w:rPr>
          <w:rFonts w:ascii="Calibri" w:hAnsi="Calibri" w:cs="Arial"/>
          <w:sz w:val="20"/>
          <w:szCs w:val="20"/>
        </w:rPr>
        <w:t>cloud</w:t>
      </w:r>
      <w:proofErr w:type="spellEnd"/>
      <w:r w:rsidRPr="006A051A">
        <w:rPr>
          <w:rFonts w:ascii="Calibri" w:hAnsi="Calibri" w:cs="Arial"/>
          <w:sz w:val="20"/>
          <w:szCs w:val="20"/>
        </w:rPr>
        <w:t xml:space="preserve"> privato gestiti dal </w:t>
      </w:r>
      <w:proofErr w:type="spellStart"/>
      <w:r w:rsidRPr="006A051A">
        <w:rPr>
          <w:rFonts w:ascii="Calibri" w:hAnsi="Calibri" w:cs="Arial"/>
          <w:sz w:val="20"/>
          <w:szCs w:val="20"/>
        </w:rPr>
        <w:t>vendor</w:t>
      </w:r>
      <w:proofErr w:type="spellEnd"/>
      <w:r w:rsidRPr="006A051A">
        <w:rPr>
          <w:rFonts w:ascii="Calibri" w:hAnsi="Calibri" w:cs="Arial"/>
          <w:sz w:val="20"/>
          <w:szCs w:val="20"/>
        </w:rPr>
        <w:t xml:space="preserve"> (</w:t>
      </w:r>
      <w:r w:rsidR="006A051A" w:rsidRPr="006A051A">
        <w:rPr>
          <w:rFonts w:ascii="Calibri" w:hAnsi="Calibri" w:cs="Arial"/>
          <w:sz w:val="20"/>
          <w:szCs w:val="20"/>
        </w:rPr>
        <w:t xml:space="preserve">Oracle </w:t>
      </w:r>
      <w:proofErr w:type="spellStart"/>
      <w:r w:rsidRPr="006A051A">
        <w:rPr>
          <w:rFonts w:ascii="Calibri" w:hAnsi="Calibri" w:cs="Arial"/>
          <w:sz w:val="20"/>
          <w:szCs w:val="20"/>
        </w:rPr>
        <w:t>Cloud@Customer</w:t>
      </w:r>
      <w:proofErr w:type="spellEnd"/>
      <w:r w:rsidRPr="006A051A">
        <w:rPr>
          <w:rFonts w:ascii="Calibri" w:hAnsi="Calibri" w:cs="Arial"/>
          <w:sz w:val="20"/>
          <w:szCs w:val="20"/>
        </w:rPr>
        <w:t>). Pertanto l’INAIL richiederà dei crediti per usufruire del servizio per Database Cloud Services al fine di poter utilizzare i servizi Oracle nei seguenti ambiti progettuali</w:t>
      </w:r>
    </w:p>
    <w:p w14:paraId="165ACA1D" w14:textId="77777777" w:rsidR="00B4481F" w:rsidRPr="006A051A" w:rsidRDefault="00B4481F" w:rsidP="00B4481F">
      <w:pPr>
        <w:pStyle w:val="Paragrafoelenco"/>
        <w:numPr>
          <w:ilvl w:val="0"/>
          <w:numId w:val="38"/>
        </w:numPr>
        <w:spacing w:before="120" w:after="120" w:line="276" w:lineRule="auto"/>
        <w:jc w:val="both"/>
        <w:rPr>
          <w:rFonts w:ascii="Calibri" w:hAnsi="Calibri" w:cs="Arial"/>
          <w:sz w:val="20"/>
          <w:szCs w:val="20"/>
        </w:rPr>
      </w:pPr>
      <w:r w:rsidRPr="006A051A">
        <w:rPr>
          <w:rFonts w:ascii="Calibri" w:hAnsi="Calibri" w:cs="Arial"/>
          <w:sz w:val="20"/>
          <w:szCs w:val="20"/>
        </w:rPr>
        <w:t>Documentale;</w:t>
      </w:r>
    </w:p>
    <w:p w14:paraId="34088624" w14:textId="77777777" w:rsidR="00B4481F" w:rsidRPr="006A051A" w:rsidRDefault="00B4481F" w:rsidP="00B4481F">
      <w:pPr>
        <w:pStyle w:val="Paragrafoelenco"/>
        <w:numPr>
          <w:ilvl w:val="0"/>
          <w:numId w:val="38"/>
        </w:numPr>
        <w:spacing w:before="120" w:after="120" w:line="276" w:lineRule="auto"/>
        <w:jc w:val="both"/>
        <w:rPr>
          <w:rFonts w:ascii="Calibri" w:hAnsi="Calibri" w:cs="Arial"/>
          <w:sz w:val="20"/>
          <w:szCs w:val="20"/>
        </w:rPr>
      </w:pPr>
      <w:r w:rsidRPr="006A051A">
        <w:rPr>
          <w:rFonts w:ascii="Calibri" w:hAnsi="Calibri" w:cs="Arial"/>
          <w:sz w:val="20"/>
          <w:szCs w:val="20"/>
        </w:rPr>
        <w:t>Portale;</w:t>
      </w:r>
    </w:p>
    <w:p w14:paraId="460ED11E" w14:textId="77777777" w:rsidR="00B4481F" w:rsidRPr="006A051A" w:rsidRDefault="00B4481F" w:rsidP="00B4481F">
      <w:pPr>
        <w:pStyle w:val="Paragrafoelenco"/>
        <w:numPr>
          <w:ilvl w:val="0"/>
          <w:numId w:val="38"/>
        </w:numPr>
        <w:spacing w:before="120" w:after="120" w:line="276" w:lineRule="auto"/>
        <w:jc w:val="both"/>
        <w:rPr>
          <w:rFonts w:ascii="Calibri" w:hAnsi="Calibri" w:cs="Arial"/>
          <w:sz w:val="20"/>
          <w:szCs w:val="20"/>
        </w:rPr>
      </w:pPr>
      <w:r w:rsidRPr="006A051A">
        <w:rPr>
          <w:rFonts w:ascii="Calibri" w:hAnsi="Calibri" w:cs="Arial"/>
          <w:sz w:val="20"/>
          <w:szCs w:val="20"/>
        </w:rPr>
        <w:t>Business Intelligence.</w:t>
      </w:r>
    </w:p>
    <w:p w14:paraId="30119D00" w14:textId="77777777" w:rsidR="007C4CA7" w:rsidRPr="007C4CA7" w:rsidRDefault="007C4CA7" w:rsidP="007C4CA7">
      <w:pPr>
        <w:spacing w:before="120" w:after="120" w:line="276" w:lineRule="auto"/>
        <w:jc w:val="both"/>
        <w:rPr>
          <w:rFonts w:ascii="Calibri" w:hAnsi="Calibri" w:cs="Arial"/>
          <w:sz w:val="20"/>
          <w:szCs w:val="20"/>
        </w:rPr>
      </w:pPr>
      <w:r w:rsidRPr="007C4CA7">
        <w:rPr>
          <w:rFonts w:ascii="Calibri" w:hAnsi="Calibri" w:cs="Arial"/>
          <w:sz w:val="20"/>
          <w:szCs w:val="20"/>
        </w:rPr>
        <w:t xml:space="preserve">Fondamentale per l’Istituto è stata la scelta di una infrastruttura RDBMS basata su tecnologia Oracle con diverse opzioni, che forniscono livelli di servizio 24/7 e continuità operazionale anche in presenza di aumento di carico, nonché una gestione avanzata delle risorse di </w:t>
      </w:r>
      <w:proofErr w:type="spellStart"/>
      <w:r w:rsidRPr="007C4CA7">
        <w:rPr>
          <w:rFonts w:ascii="Calibri" w:hAnsi="Calibri" w:cs="Arial"/>
          <w:sz w:val="20"/>
          <w:szCs w:val="20"/>
        </w:rPr>
        <w:t>storage</w:t>
      </w:r>
      <w:proofErr w:type="spellEnd"/>
      <w:r w:rsidRPr="007C4CA7">
        <w:rPr>
          <w:rFonts w:ascii="Calibri" w:hAnsi="Calibri" w:cs="Arial"/>
          <w:sz w:val="20"/>
          <w:szCs w:val="20"/>
        </w:rPr>
        <w:t>, che intende confermare per il prossimo triennio con tutte le opzioni DB da fornitura attuale:</w:t>
      </w:r>
    </w:p>
    <w:p w14:paraId="2EC0C9BE" w14:textId="53BF8600"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Database EE</w:t>
      </w:r>
    </w:p>
    <w:p w14:paraId="35083A9B" w14:textId="683A14B7"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Real Application Cluster</w:t>
      </w:r>
    </w:p>
    <w:p w14:paraId="17BD0D76" w14:textId="425F4B8B"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proofErr w:type="spellStart"/>
      <w:r w:rsidRPr="002B431A">
        <w:rPr>
          <w:rFonts w:ascii="Calibri" w:hAnsi="Calibri" w:cs="Arial"/>
          <w:sz w:val="20"/>
          <w:szCs w:val="20"/>
        </w:rPr>
        <w:t>Partitioniong</w:t>
      </w:r>
      <w:proofErr w:type="spellEnd"/>
      <w:r w:rsidRPr="002B431A">
        <w:rPr>
          <w:rFonts w:ascii="Calibri" w:hAnsi="Calibri" w:cs="Arial"/>
          <w:sz w:val="20"/>
          <w:szCs w:val="20"/>
        </w:rPr>
        <w:t xml:space="preserve"> </w:t>
      </w:r>
    </w:p>
    <w:p w14:paraId="4ABA2C17" w14:textId="3E569C27"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proofErr w:type="spellStart"/>
      <w:r w:rsidRPr="002B431A">
        <w:rPr>
          <w:rFonts w:ascii="Calibri" w:hAnsi="Calibri" w:cs="Arial"/>
          <w:sz w:val="20"/>
          <w:szCs w:val="20"/>
        </w:rPr>
        <w:t>Tuning</w:t>
      </w:r>
      <w:proofErr w:type="spellEnd"/>
      <w:r w:rsidRPr="002B431A">
        <w:rPr>
          <w:rFonts w:ascii="Calibri" w:hAnsi="Calibri" w:cs="Arial"/>
          <w:sz w:val="20"/>
          <w:szCs w:val="20"/>
        </w:rPr>
        <w:t xml:space="preserve"> Pack</w:t>
      </w:r>
    </w:p>
    <w:p w14:paraId="633A43BC" w14:textId="0C17A4DB"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proofErr w:type="spellStart"/>
      <w:r w:rsidRPr="002B431A">
        <w:rPr>
          <w:rFonts w:ascii="Calibri" w:hAnsi="Calibri" w:cs="Arial"/>
          <w:sz w:val="20"/>
          <w:szCs w:val="20"/>
        </w:rPr>
        <w:t>Diagnostic</w:t>
      </w:r>
      <w:proofErr w:type="spellEnd"/>
      <w:r w:rsidRPr="002B431A">
        <w:rPr>
          <w:rFonts w:ascii="Calibri" w:hAnsi="Calibri" w:cs="Arial"/>
          <w:sz w:val="20"/>
          <w:szCs w:val="20"/>
        </w:rPr>
        <w:t xml:space="preserve"> Pack</w:t>
      </w:r>
    </w:p>
    <w:p w14:paraId="4D456F7E" w14:textId="5D20F33E"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 xml:space="preserve">Advanced </w:t>
      </w:r>
      <w:proofErr w:type="spellStart"/>
      <w:r w:rsidRPr="002B431A">
        <w:rPr>
          <w:rFonts w:ascii="Calibri" w:hAnsi="Calibri" w:cs="Arial"/>
          <w:sz w:val="20"/>
          <w:szCs w:val="20"/>
        </w:rPr>
        <w:t>Compression</w:t>
      </w:r>
      <w:proofErr w:type="spellEnd"/>
    </w:p>
    <w:p w14:paraId="7BD319B3" w14:textId="6495A568"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Active Data Guard</w:t>
      </w:r>
    </w:p>
    <w:p w14:paraId="6C8DDB90" w14:textId="3D2ADC82"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proofErr w:type="spellStart"/>
      <w:r w:rsidRPr="002B431A">
        <w:rPr>
          <w:rFonts w:ascii="Calibri" w:hAnsi="Calibri" w:cs="Arial"/>
          <w:sz w:val="20"/>
          <w:szCs w:val="20"/>
        </w:rPr>
        <w:lastRenderedPageBreak/>
        <w:t>Spatial</w:t>
      </w:r>
      <w:proofErr w:type="spellEnd"/>
      <w:r w:rsidRPr="002B431A">
        <w:rPr>
          <w:rFonts w:ascii="Calibri" w:hAnsi="Calibri" w:cs="Arial"/>
          <w:sz w:val="20"/>
          <w:szCs w:val="20"/>
        </w:rPr>
        <w:t xml:space="preserve"> &amp; </w:t>
      </w:r>
      <w:proofErr w:type="spellStart"/>
      <w:r w:rsidRPr="002B431A">
        <w:rPr>
          <w:rFonts w:ascii="Calibri" w:hAnsi="Calibri" w:cs="Arial"/>
          <w:sz w:val="20"/>
          <w:szCs w:val="20"/>
        </w:rPr>
        <w:t>Graph</w:t>
      </w:r>
      <w:proofErr w:type="spellEnd"/>
    </w:p>
    <w:p w14:paraId="192D271D" w14:textId="05699459"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Data Integrator EE</w:t>
      </w:r>
    </w:p>
    <w:p w14:paraId="74424A7D" w14:textId="0BC8F95E"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In-</w:t>
      </w:r>
      <w:proofErr w:type="spellStart"/>
      <w:r w:rsidRPr="002B431A">
        <w:rPr>
          <w:rFonts w:ascii="Calibri" w:hAnsi="Calibri" w:cs="Arial"/>
          <w:sz w:val="20"/>
          <w:szCs w:val="20"/>
        </w:rPr>
        <w:t>memory</w:t>
      </w:r>
      <w:proofErr w:type="spellEnd"/>
    </w:p>
    <w:p w14:paraId="2E309E23" w14:textId="204E9DA3"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r w:rsidRPr="002B431A">
        <w:rPr>
          <w:rFonts w:ascii="Calibri" w:hAnsi="Calibri" w:cs="Arial"/>
          <w:sz w:val="20"/>
          <w:szCs w:val="20"/>
        </w:rPr>
        <w:t>Multi-</w:t>
      </w:r>
      <w:proofErr w:type="spellStart"/>
      <w:r w:rsidRPr="002B431A">
        <w:rPr>
          <w:rFonts w:ascii="Calibri" w:hAnsi="Calibri" w:cs="Arial"/>
          <w:sz w:val="20"/>
          <w:szCs w:val="20"/>
        </w:rPr>
        <w:t>tenant</w:t>
      </w:r>
      <w:proofErr w:type="spellEnd"/>
    </w:p>
    <w:p w14:paraId="1A2F80F4" w14:textId="1DC060BD"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lang w:val="en-US"/>
        </w:rPr>
      </w:pPr>
      <w:r w:rsidRPr="002B431A">
        <w:rPr>
          <w:rFonts w:ascii="Calibri" w:hAnsi="Calibri" w:cs="Arial"/>
          <w:sz w:val="20"/>
          <w:szCs w:val="20"/>
          <w:lang w:val="en-US"/>
        </w:rPr>
        <w:t>Lifecycle Management</w:t>
      </w:r>
    </w:p>
    <w:p w14:paraId="2B72DB1F" w14:textId="161856A1"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lang w:val="en-US"/>
        </w:rPr>
      </w:pPr>
      <w:r w:rsidRPr="002B431A">
        <w:rPr>
          <w:rFonts w:ascii="Calibri" w:hAnsi="Calibri" w:cs="Arial"/>
          <w:sz w:val="20"/>
          <w:szCs w:val="20"/>
          <w:lang w:val="en-US"/>
        </w:rPr>
        <w:t>Cloud Management pack</w:t>
      </w:r>
    </w:p>
    <w:p w14:paraId="704CFCDD" w14:textId="2AF47530" w:rsidR="007C4CA7" w:rsidRPr="00FD046A" w:rsidRDefault="007C4CA7" w:rsidP="002B431A">
      <w:pPr>
        <w:pStyle w:val="Paragrafoelenco"/>
        <w:numPr>
          <w:ilvl w:val="0"/>
          <w:numId w:val="44"/>
        </w:numPr>
        <w:spacing w:before="120" w:after="120" w:line="276" w:lineRule="auto"/>
        <w:jc w:val="both"/>
        <w:rPr>
          <w:rFonts w:ascii="Calibri" w:hAnsi="Calibri" w:cs="Arial"/>
          <w:sz w:val="20"/>
          <w:szCs w:val="20"/>
          <w:lang w:val="en-US"/>
        </w:rPr>
      </w:pPr>
      <w:r w:rsidRPr="00FD046A">
        <w:rPr>
          <w:rFonts w:ascii="Calibri" w:hAnsi="Calibri" w:cs="Arial"/>
          <w:sz w:val="20"/>
          <w:szCs w:val="20"/>
          <w:lang w:val="en-US"/>
        </w:rPr>
        <w:t>Oracle Database Cloud Service Extreme Performance</w:t>
      </w:r>
    </w:p>
    <w:p w14:paraId="671A5C98" w14:textId="3C9EC4AC" w:rsidR="007C4CA7" w:rsidRPr="002B431A" w:rsidRDefault="007C4CA7" w:rsidP="002B431A">
      <w:pPr>
        <w:pStyle w:val="Paragrafoelenco"/>
        <w:numPr>
          <w:ilvl w:val="0"/>
          <w:numId w:val="44"/>
        </w:numPr>
        <w:spacing w:before="120" w:after="120" w:line="276" w:lineRule="auto"/>
        <w:jc w:val="both"/>
        <w:rPr>
          <w:rFonts w:ascii="Calibri" w:hAnsi="Calibri" w:cs="Arial"/>
          <w:sz w:val="20"/>
          <w:szCs w:val="20"/>
        </w:rPr>
      </w:pPr>
      <w:proofErr w:type="spellStart"/>
      <w:r w:rsidRPr="002B431A">
        <w:rPr>
          <w:rFonts w:ascii="Calibri" w:hAnsi="Calibri" w:cs="Arial"/>
          <w:sz w:val="20"/>
          <w:szCs w:val="20"/>
        </w:rPr>
        <w:t>Advaced</w:t>
      </w:r>
      <w:proofErr w:type="spellEnd"/>
      <w:r w:rsidRPr="002B431A">
        <w:rPr>
          <w:rFonts w:ascii="Calibri" w:hAnsi="Calibri" w:cs="Arial"/>
          <w:sz w:val="20"/>
          <w:szCs w:val="20"/>
        </w:rPr>
        <w:t xml:space="preserve"> </w:t>
      </w:r>
      <w:proofErr w:type="spellStart"/>
      <w:r w:rsidRPr="002B431A">
        <w:rPr>
          <w:rFonts w:ascii="Calibri" w:hAnsi="Calibri" w:cs="Arial"/>
          <w:sz w:val="20"/>
          <w:szCs w:val="20"/>
        </w:rPr>
        <w:t>Securty</w:t>
      </w:r>
      <w:proofErr w:type="spellEnd"/>
      <w:r w:rsidRPr="002B431A">
        <w:rPr>
          <w:rFonts w:ascii="Calibri" w:hAnsi="Calibri" w:cs="Arial"/>
          <w:sz w:val="20"/>
          <w:szCs w:val="20"/>
        </w:rPr>
        <w:t xml:space="preserve"> Option</w:t>
      </w:r>
    </w:p>
    <w:p w14:paraId="6AFEF586" w14:textId="79A91869" w:rsidR="00C13A1A" w:rsidRPr="006A051A" w:rsidRDefault="00C13A1A" w:rsidP="007C4CA7">
      <w:pPr>
        <w:spacing w:before="120" w:after="120" w:line="276" w:lineRule="auto"/>
        <w:jc w:val="both"/>
        <w:rPr>
          <w:rFonts w:ascii="Calibri" w:hAnsi="Calibri" w:cs="Arial"/>
          <w:sz w:val="20"/>
          <w:szCs w:val="20"/>
        </w:rPr>
      </w:pPr>
      <w:r w:rsidRPr="006A051A">
        <w:rPr>
          <w:rFonts w:ascii="Calibri" w:hAnsi="Calibri" w:cs="Arial"/>
          <w:sz w:val="20"/>
          <w:szCs w:val="20"/>
        </w:rPr>
        <w:t>A tal proposito, v</w:t>
      </w:r>
      <w:r w:rsidR="00CD5A8C" w:rsidRPr="006A051A">
        <w:rPr>
          <w:rFonts w:ascii="Calibri" w:hAnsi="Calibri" w:cs="Arial"/>
          <w:sz w:val="20"/>
          <w:szCs w:val="20"/>
        </w:rPr>
        <w:t>a precisato che</w:t>
      </w:r>
      <w:r w:rsidRPr="006A051A">
        <w:rPr>
          <w:rFonts w:ascii="Calibri" w:hAnsi="Calibri" w:cs="Arial"/>
          <w:sz w:val="20"/>
          <w:szCs w:val="20"/>
        </w:rPr>
        <w:t>:</w:t>
      </w:r>
    </w:p>
    <w:p w14:paraId="3052C497" w14:textId="21F44231" w:rsidR="00B4481F" w:rsidRPr="008A6BE4" w:rsidRDefault="00B4481F" w:rsidP="008A6BE4">
      <w:pPr>
        <w:pStyle w:val="Paragrafoelenco"/>
        <w:numPr>
          <w:ilvl w:val="0"/>
          <w:numId w:val="39"/>
        </w:numPr>
        <w:spacing w:before="120" w:after="120" w:line="360" w:lineRule="auto"/>
        <w:ind w:left="714" w:hanging="357"/>
        <w:jc w:val="both"/>
        <w:rPr>
          <w:rFonts w:ascii="Calibri" w:hAnsi="Calibri" w:cs="Arial"/>
          <w:sz w:val="20"/>
          <w:szCs w:val="20"/>
        </w:rPr>
      </w:pPr>
      <w:r w:rsidRPr="006A051A">
        <w:rPr>
          <w:rFonts w:ascii="Calibri" w:hAnsi="Calibri" w:cs="Arial"/>
          <w:sz w:val="20"/>
          <w:szCs w:val="20"/>
        </w:rPr>
        <w:t xml:space="preserve">il prodotto </w:t>
      </w:r>
      <w:r w:rsidR="00C13A1A" w:rsidRPr="006A051A">
        <w:rPr>
          <w:rFonts w:ascii="Calibri" w:hAnsi="Calibri" w:cs="Arial"/>
          <w:b/>
          <w:sz w:val="20"/>
          <w:szCs w:val="20"/>
        </w:rPr>
        <w:t xml:space="preserve">Oracle </w:t>
      </w:r>
      <w:proofErr w:type="spellStart"/>
      <w:r w:rsidR="00C13A1A" w:rsidRPr="006A051A">
        <w:rPr>
          <w:rFonts w:ascii="Calibri" w:hAnsi="Calibri" w:cs="Arial"/>
          <w:b/>
          <w:sz w:val="20"/>
          <w:szCs w:val="20"/>
        </w:rPr>
        <w:t>Exadata</w:t>
      </w:r>
      <w:proofErr w:type="spellEnd"/>
      <w:r w:rsidR="00C13A1A" w:rsidRPr="006A051A">
        <w:rPr>
          <w:rFonts w:ascii="Calibri" w:hAnsi="Calibri" w:cs="Arial"/>
          <w:b/>
          <w:sz w:val="20"/>
          <w:szCs w:val="20"/>
        </w:rPr>
        <w:t xml:space="preserve"> Storage Server Software</w:t>
      </w:r>
      <w:r w:rsidR="00C13A1A" w:rsidRPr="006A051A">
        <w:rPr>
          <w:rFonts w:ascii="Calibri" w:hAnsi="Calibri" w:cs="Arial"/>
          <w:sz w:val="20"/>
          <w:szCs w:val="20"/>
        </w:rPr>
        <w:t xml:space="preserve"> permette</w:t>
      </w:r>
      <w:r w:rsidRPr="006A051A">
        <w:rPr>
          <w:rFonts w:ascii="Calibri" w:hAnsi="Calibri" w:cs="Arial"/>
          <w:sz w:val="20"/>
          <w:szCs w:val="20"/>
        </w:rPr>
        <w:t xml:space="preserve">, tra l’altro, di incrementare le </w:t>
      </w:r>
      <w:r w:rsidR="00C13A1A" w:rsidRPr="006A051A">
        <w:rPr>
          <w:rFonts w:ascii="Calibri" w:hAnsi="Calibri" w:cs="Arial"/>
          <w:sz w:val="20"/>
          <w:szCs w:val="20"/>
        </w:rPr>
        <w:t>prestazioni raggiungibili,</w:t>
      </w:r>
      <w:r w:rsidRPr="006A051A">
        <w:rPr>
          <w:rFonts w:ascii="Calibri" w:hAnsi="Calibri" w:cs="Arial"/>
          <w:sz w:val="20"/>
          <w:szCs w:val="20"/>
        </w:rPr>
        <w:t xml:space="preserve"> </w:t>
      </w:r>
      <w:r w:rsidR="00004ABA">
        <w:rPr>
          <w:rFonts w:ascii="Calibri" w:hAnsi="Calibri" w:cs="Arial"/>
          <w:sz w:val="20"/>
          <w:szCs w:val="20"/>
        </w:rPr>
        <w:t>riducendo</w:t>
      </w:r>
      <w:r w:rsidRPr="006A051A">
        <w:rPr>
          <w:rFonts w:ascii="Calibri" w:hAnsi="Calibri" w:cs="Arial"/>
          <w:sz w:val="20"/>
          <w:szCs w:val="20"/>
        </w:rPr>
        <w:t xml:space="preserve">, </w:t>
      </w:r>
      <w:r w:rsidR="00C13A1A" w:rsidRPr="006A051A">
        <w:rPr>
          <w:rFonts w:ascii="Calibri" w:hAnsi="Calibri" w:cs="Arial"/>
          <w:sz w:val="20"/>
          <w:szCs w:val="20"/>
        </w:rPr>
        <w:t>tramite compressione</w:t>
      </w:r>
      <w:r w:rsidRPr="006A051A">
        <w:rPr>
          <w:rFonts w:ascii="Calibri" w:hAnsi="Calibri" w:cs="Arial"/>
          <w:sz w:val="20"/>
          <w:szCs w:val="20"/>
        </w:rPr>
        <w:t>, lo</w:t>
      </w:r>
      <w:r w:rsidR="00C13A1A" w:rsidRPr="006A051A">
        <w:rPr>
          <w:rFonts w:ascii="Calibri" w:hAnsi="Calibri" w:cs="Arial"/>
          <w:sz w:val="20"/>
          <w:szCs w:val="20"/>
        </w:rPr>
        <w:t xml:space="preserve"> spazio occupato dai dati, </w:t>
      </w:r>
      <w:r w:rsidRPr="006A051A">
        <w:rPr>
          <w:rFonts w:ascii="Calibri" w:hAnsi="Calibri" w:cs="Arial"/>
          <w:sz w:val="20"/>
          <w:szCs w:val="20"/>
        </w:rPr>
        <w:t xml:space="preserve">di far </w:t>
      </w:r>
      <w:r w:rsidR="00C13A1A" w:rsidRPr="006A051A">
        <w:rPr>
          <w:rFonts w:ascii="Calibri" w:hAnsi="Calibri" w:cs="Arial"/>
          <w:sz w:val="20"/>
          <w:szCs w:val="20"/>
        </w:rPr>
        <w:t>coesiste</w:t>
      </w:r>
      <w:r w:rsidRPr="006A051A">
        <w:rPr>
          <w:rFonts w:ascii="Calibri" w:hAnsi="Calibri" w:cs="Arial"/>
          <w:sz w:val="20"/>
          <w:szCs w:val="20"/>
        </w:rPr>
        <w:t>re</w:t>
      </w:r>
      <w:r w:rsidR="00C13A1A" w:rsidRPr="006A051A">
        <w:rPr>
          <w:rFonts w:ascii="Calibri" w:hAnsi="Calibri" w:cs="Arial"/>
          <w:sz w:val="20"/>
          <w:szCs w:val="20"/>
        </w:rPr>
        <w:t xml:space="preserve"> database con </w:t>
      </w:r>
      <w:proofErr w:type="spellStart"/>
      <w:r w:rsidR="00C13A1A" w:rsidRPr="006A051A">
        <w:rPr>
          <w:rFonts w:ascii="Calibri" w:hAnsi="Calibri" w:cs="Arial"/>
          <w:sz w:val="20"/>
          <w:szCs w:val="20"/>
        </w:rPr>
        <w:t>workload</w:t>
      </w:r>
      <w:proofErr w:type="spellEnd"/>
      <w:r w:rsidR="00C13A1A" w:rsidRPr="006A051A">
        <w:rPr>
          <w:rFonts w:ascii="Calibri" w:hAnsi="Calibri" w:cs="Arial"/>
          <w:sz w:val="20"/>
          <w:szCs w:val="20"/>
        </w:rPr>
        <w:t xml:space="preserve"> molto diversi (analitici e transazionali), </w:t>
      </w:r>
      <w:r w:rsidRPr="006A051A">
        <w:rPr>
          <w:rFonts w:ascii="Calibri" w:hAnsi="Calibri" w:cs="Arial"/>
          <w:sz w:val="20"/>
          <w:szCs w:val="20"/>
        </w:rPr>
        <w:t xml:space="preserve">di </w:t>
      </w:r>
      <w:r w:rsidR="00C13A1A" w:rsidRPr="006A051A">
        <w:rPr>
          <w:rFonts w:ascii="Calibri" w:hAnsi="Calibri" w:cs="Arial"/>
          <w:sz w:val="20"/>
          <w:szCs w:val="20"/>
        </w:rPr>
        <w:t>consolida</w:t>
      </w:r>
      <w:r w:rsidRPr="006A051A">
        <w:rPr>
          <w:rFonts w:ascii="Calibri" w:hAnsi="Calibri" w:cs="Arial"/>
          <w:sz w:val="20"/>
          <w:szCs w:val="20"/>
        </w:rPr>
        <w:t xml:space="preserve">re </w:t>
      </w:r>
      <w:r w:rsidR="00C13A1A" w:rsidRPr="006A051A">
        <w:rPr>
          <w:rFonts w:ascii="Calibri" w:hAnsi="Calibri" w:cs="Arial"/>
          <w:sz w:val="20"/>
          <w:szCs w:val="20"/>
        </w:rPr>
        <w:t>nu</w:t>
      </w:r>
      <w:r w:rsidR="00004ABA">
        <w:rPr>
          <w:rFonts w:ascii="Calibri" w:hAnsi="Calibri" w:cs="Arial"/>
          <w:sz w:val="20"/>
          <w:szCs w:val="20"/>
        </w:rPr>
        <w:t>meri elevati di database:</w:t>
      </w:r>
      <w:r w:rsidRPr="006A051A">
        <w:rPr>
          <w:rFonts w:ascii="Calibri" w:hAnsi="Calibri" w:cs="Arial"/>
          <w:sz w:val="20"/>
          <w:szCs w:val="20"/>
        </w:rPr>
        <w:t xml:space="preserve"> in definitiva, consente funzionalità uniche di Oracle Database non presenti </w:t>
      </w:r>
      <w:r w:rsidRPr="008A6BE4">
        <w:rPr>
          <w:rFonts w:ascii="Calibri" w:hAnsi="Calibri" w:cs="Arial"/>
          <w:sz w:val="20"/>
          <w:szCs w:val="20"/>
        </w:rPr>
        <w:t>in nessun’altra configurazione hardware di Oracle stessa o di mercato;</w:t>
      </w:r>
    </w:p>
    <w:p w14:paraId="4F0BE0B4" w14:textId="6CB8EE9A" w:rsidR="00CD5A8C" w:rsidRPr="00CC7D0B" w:rsidRDefault="00C13A1A" w:rsidP="008A6BE4">
      <w:pPr>
        <w:pStyle w:val="Paragrafoelenco"/>
        <w:numPr>
          <w:ilvl w:val="0"/>
          <w:numId w:val="39"/>
        </w:numPr>
        <w:spacing w:before="120" w:after="120" w:line="360" w:lineRule="auto"/>
        <w:jc w:val="both"/>
        <w:rPr>
          <w:rFonts w:ascii="Calibri" w:hAnsi="Calibri" w:cs="Arial"/>
          <w:sz w:val="20"/>
          <w:szCs w:val="20"/>
        </w:rPr>
      </w:pPr>
      <w:r w:rsidRPr="008A6BE4">
        <w:rPr>
          <w:rFonts w:ascii="Calibri" w:hAnsi="Calibri" w:cs="Arial"/>
          <w:sz w:val="20"/>
          <w:szCs w:val="20"/>
        </w:rPr>
        <w:t xml:space="preserve">la </w:t>
      </w:r>
      <w:r w:rsidR="00CD5A8C" w:rsidRPr="008A6BE4">
        <w:rPr>
          <w:rFonts w:ascii="Calibri" w:hAnsi="Calibri" w:cs="Arial"/>
          <w:sz w:val="20"/>
          <w:szCs w:val="20"/>
        </w:rPr>
        <w:t xml:space="preserve">scelta di utilizzare </w:t>
      </w:r>
      <w:r w:rsidR="008E130A" w:rsidRPr="008A6BE4">
        <w:rPr>
          <w:rFonts w:ascii="Calibri" w:hAnsi="Calibri" w:cs="Arial"/>
          <w:b/>
          <w:sz w:val="20"/>
          <w:szCs w:val="20"/>
        </w:rPr>
        <w:t xml:space="preserve">Oracle Cloud Management </w:t>
      </w:r>
      <w:r w:rsidR="00CD5A8C" w:rsidRPr="008A6BE4">
        <w:rPr>
          <w:rFonts w:ascii="Calibri" w:hAnsi="Calibri" w:cs="Arial"/>
          <w:b/>
          <w:sz w:val="20"/>
          <w:szCs w:val="20"/>
        </w:rPr>
        <w:t>Pack</w:t>
      </w:r>
      <w:r w:rsidR="00CD5A8C" w:rsidRPr="008A6BE4">
        <w:rPr>
          <w:rFonts w:ascii="Calibri" w:hAnsi="Calibri" w:cs="Arial"/>
          <w:sz w:val="20"/>
          <w:szCs w:val="20"/>
        </w:rPr>
        <w:t>, ai fini della migrazione che l’Istituto intende attuare sulla piattaforma Private Cloud di Oracle (</w:t>
      </w:r>
      <w:proofErr w:type="spellStart"/>
      <w:r w:rsidR="00CD5A8C" w:rsidRPr="008A6BE4">
        <w:rPr>
          <w:rFonts w:ascii="Calibri" w:hAnsi="Calibri" w:cs="Arial"/>
          <w:sz w:val="20"/>
          <w:szCs w:val="20"/>
        </w:rPr>
        <w:t>Cloud@Customer</w:t>
      </w:r>
      <w:proofErr w:type="spellEnd"/>
      <w:r w:rsidR="00CD5A8C" w:rsidRPr="008A6BE4">
        <w:rPr>
          <w:rFonts w:ascii="Calibri" w:hAnsi="Calibri" w:cs="Arial"/>
          <w:sz w:val="20"/>
          <w:szCs w:val="20"/>
        </w:rPr>
        <w:t xml:space="preserve">), è sostenuta dall’esigenza di minimizzare i rischi connessi con l’integrazione nell’architettura esistente: il prodotto è infatti un’opzione del Oracle Enterprise Manager (la piattaforma attualmente in uso presso l’Istituto per le funzionalità di monitoraggio e gestione dell’Oracle Database) e vi aggiunge il self service Portal, il catalogo </w:t>
      </w:r>
      <w:r w:rsidRPr="008A6BE4">
        <w:rPr>
          <w:rFonts w:ascii="Calibri" w:hAnsi="Calibri" w:cs="Arial"/>
          <w:sz w:val="20"/>
          <w:szCs w:val="20"/>
        </w:rPr>
        <w:t xml:space="preserve">dei servizi e in generale il paradigma Private Cloud </w:t>
      </w:r>
      <w:r w:rsidR="00CD5A8C" w:rsidRPr="008A6BE4">
        <w:rPr>
          <w:rFonts w:ascii="Calibri" w:hAnsi="Calibri" w:cs="Arial"/>
          <w:sz w:val="20"/>
          <w:szCs w:val="20"/>
        </w:rPr>
        <w:t xml:space="preserve"> </w:t>
      </w:r>
      <w:r w:rsidRPr="008A6BE4">
        <w:rPr>
          <w:rFonts w:ascii="Calibri" w:hAnsi="Calibri" w:cs="Arial"/>
          <w:sz w:val="20"/>
          <w:szCs w:val="20"/>
        </w:rPr>
        <w:t>per gli ambien</w:t>
      </w:r>
      <w:r w:rsidR="00B4481F" w:rsidRPr="008A6BE4">
        <w:rPr>
          <w:rFonts w:ascii="Calibri" w:hAnsi="Calibri" w:cs="Arial"/>
          <w:sz w:val="20"/>
          <w:szCs w:val="20"/>
        </w:rPr>
        <w:t xml:space="preserve">ti </w:t>
      </w:r>
      <w:r w:rsidR="00B4481F" w:rsidRPr="00CC7D0B">
        <w:rPr>
          <w:rFonts w:ascii="Calibri" w:hAnsi="Calibri" w:cs="Arial"/>
          <w:sz w:val="20"/>
          <w:szCs w:val="20"/>
        </w:rPr>
        <w:t>database.</w:t>
      </w:r>
    </w:p>
    <w:p w14:paraId="0458BDBB" w14:textId="2B1CC697" w:rsidR="00A158F4" w:rsidRPr="00CC7D0B" w:rsidRDefault="00A158F4" w:rsidP="00A158F4">
      <w:pPr>
        <w:spacing w:line="276" w:lineRule="auto"/>
        <w:jc w:val="both"/>
        <w:rPr>
          <w:rFonts w:ascii="Calibri" w:hAnsi="Calibri" w:cs="Arial"/>
          <w:sz w:val="20"/>
          <w:szCs w:val="20"/>
        </w:rPr>
      </w:pPr>
      <w:r w:rsidRPr="00CC7D0B">
        <w:rPr>
          <w:rFonts w:ascii="Calibri" w:hAnsi="Calibri" w:cs="Arial"/>
          <w:sz w:val="20"/>
          <w:szCs w:val="20"/>
        </w:rPr>
        <w:t xml:space="preserve">Si richiede </w:t>
      </w:r>
      <w:r w:rsidR="001C0525">
        <w:rPr>
          <w:rFonts w:ascii="Calibri" w:hAnsi="Calibri" w:cs="Arial"/>
          <w:sz w:val="20"/>
          <w:szCs w:val="20"/>
        </w:rPr>
        <w:t>inoltre</w:t>
      </w:r>
      <w:r w:rsidRPr="00CC7D0B">
        <w:rPr>
          <w:rFonts w:ascii="Calibri" w:hAnsi="Calibri" w:cs="Arial"/>
          <w:sz w:val="20"/>
          <w:szCs w:val="20"/>
        </w:rPr>
        <w:t>:</w:t>
      </w:r>
    </w:p>
    <w:p w14:paraId="5B7371EB" w14:textId="6E7D3FF5" w:rsidR="00A158F4" w:rsidRPr="00CC7D0B" w:rsidRDefault="00C13A1A" w:rsidP="00CC7D0B">
      <w:pPr>
        <w:pStyle w:val="Paragrafoelenco"/>
        <w:numPr>
          <w:ilvl w:val="0"/>
          <w:numId w:val="36"/>
        </w:numPr>
        <w:spacing w:before="120" w:after="120" w:line="360" w:lineRule="auto"/>
        <w:ind w:left="714" w:hanging="357"/>
        <w:jc w:val="both"/>
        <w:rPr>
          <w:rFonts w:ascii="Calibri" w:hAnsi="Calibri" w:cs="Arial"/>
          <w:sz w:val="20"/>
          <w:szCs w:val="20"/>
        </w:rPr>
      </w:pPr>
      <w:r w:rsidRPr="00CC7D0B">
        <w:rPr>
          <w:rFonts w:ascii="Calibri" w:hAnsi="Calibri" w:cs="Arial"/>
          <w:sz w:val="20"/>
          <w:szCs w:val="20"/>
        </w:rPr>
        <w:t xml:space="preserve">il rinnovo della </w:t>
      </w:r>
      <w:r w:rsidR="00A158F4" w:rsidRPr="00CC7D0B">
        <w:rPr>
          <w:rFonts w:ascii="Calibri" w:hAnsi="Calibri" w:cs="Arial"/>
          <w:sz w:val="20"/>
          <w:szCs w:val="20"/>
        </w:rPr>
        <w:t>manutenzione</w:t>
      </w:r>
      <w:r w:rsidR="00B4481F" w:rsidRPr="00CC7D0B">
        <w:rPr>
          <w:rFonts w:ascii="Calibri" w:hAnsi="Calibri" w:cs="Arial"/>
          <w:sz w:val="20"/>
          <w:szCs w:val="20"/>
        </w:rPr>
        <w:t>, in modal</w:t>
      </w:r>
      <w:r w:rsidR="008E2C98" w:rsidRPr="00CC7D0B">
        <w:rPr>
          <w:rFonts w:ascii="Calibri" w:hAnsi="Calibri" w:cs="Arial"/>
          <w:sz w:val="20"/>
          <w:szCs w:val="20"/>
        </w:rPr>
        <w:t xml:space="preserve">ità </w:t>
      </w:r>
      <w:proofErr w:type="spellStart"/>
      <w:r w:rsidR="008E2C98" w:rsidRPr="00CC7D0B">
        <w:rPr>
          <w:rFonts w:ascii="Calibri" w:hAnsi="Calibri" w:cs="Arial"/>
          <w:sz w:val="20"/>
          <w:szCs w:val="20"/>
        </w:rPr>
        <w:t>Unlimited</w:t>
      </w:r>
      <w:proofErr w:type="spellEnd"/>
      <w:r w:rsidR="008E2C98" w:rsidRPr="00CC7D0B">
        <w:rPr>
          <w:rFonts w:ascii="Calibri" w:hAnsi="Calibri" w:cs="Arial"/>
          <w:sz w:val="20"/>
          <w:szCs w:val="20"/>
        </w:rPr>
        <w:t xml:space="preserve"> License Agreement</w:t>
      </w:r>
      <w:r w:rsidR="00B4481F" w:rsidRPr="00CC7D0B">
        <w:rPr>
          <w:rFonts w:ascii="Calibri" w:hAnsi="Calibri" w:cs="Arial"/>
          <w:sz w:val="20"/>
          <w:szCs w:val="20"/>
        </w:rPr>
        <w:t xml:space="preserve"> (ULA)</w:t>
      </w:r>
      <w:r w:rsidR="00A158F4" w:rsidRPr="00CC7D0B">
        <w:rPr>
          <w:rFonts w:ascii="Calibri" w:hAnsi="Calibri" w:cs="Arial"/>
          <w:sz w:val="20"/>
          <w:szCs w:val="20"/>
        </w:rPr>
        <w:t xml:space="preserve">, </w:t>
      </w:r>
      <w:r w:rsidR="00B4481F" w:rsidRPr="00CC7D0B">
        <w:rPr>
          <w:rFonts w:ascii="Calibri" w:hAnsi="Calibri" w:cs="Arial"/>
          <w:sz w:val="20"/>
          <w:szCs w:val="20"/>
        </w:rPr>
        <w:t>di alcuni p</w:t>
      </w:r>
      <w:r w:rsidR="00A158F4" w:rsidRPr="00CC7D0B">
        <w:rPr>
          <w:rFonts w:ascii="Calibri" w:hAnsi="Calibri" w:cs="Arial"/>
          <w:sz w:val="20"/>
          <w:szCs w:val="20"/>
        </w:rPr>
        <w:t>rodotti Oracle già in uso</w:t>
      </w:r>
      <w:r w:rsidR="00B4481F" w:rsidRPr="00CC7D0B">
        <w:rPr>
          <w:rFonts w:ascii="Calibri" w:hAnsi="Calibri" w:cs="Arial"/>
          <w:sz w:val="20"/>
          <w:szCs w:val="20"/>
        </w:rPr>
        <w:t xml:space="preserve">, rientranti nelle seguenti macro categorie: </w:t>
      </w:r>
    </w:p>
    <w:p w14:paraId="6F479AD5" w14:textId="77777777" w:rsidR="00B4481F" w:rsidRPr="00CC7D0B" w:rsidRDefault="00B4481F" w:rsidP="00B4481F">
      <w:pPr>
        <w:pStyle w:val="Paragrafoelenco"/>
        <w:numPr>
          <w:ilvl w:val="0"/>
          <w:numId w:val="40"/>
        </w:numPr>
        <w:tabs>
          <w:tab w:val="left" w:pos="993"/>
        </w:tabs>
        <w:spacing w:before="120" w:after="120" w:line="276" w:lineRule="auto"/>
        <w:ind w:hanging="11"/>
        <w:jc w:val="both"/>
        <w:rPr>
          <w:rFonts w:ascii="Calibri" w:hAnsi="Calibri" w:cs="Arial"/>
          <w:b/>
          <w:i/>
          <w:sz w:val="20"/>
          <w:szCs w:val="20"/>
        </w:rPr>
      </w:pPr>
      <w:proofErr w:type="spellStart"/>
      <w:r w:rsidRPr="00CC7D0B">
        <w:rPr>
          <w:rFonts w:ascii="Calibri" w:hAnsi="Calibri" w:cs="Arial"/>
          <w:b/>
          <w:i/>
          <w:sz w:val="20"/>
          <w:szCs w:val="20"/>
        </w:rPr>
        <w:t>Middleware</w:t>
      </w:r>
      <w:proofErr w:type="spellEnd"/>
      <w:r w:rsidRPr="00CC7D0B">
        <w:rPr>
          <w:rFonts w:ascii="Calibri" w:hAnsi="Calibri" w:cs="Arial"/>
          <w:b/>
          <w:i/>
          <w:sz w:val="20"/>
          <w:szCs w:val="20"/>
        </w:rPr>
        <w:t>;</w:t>
      </w:r>
    </w:p>
    <w:p w14:paraId="290BC109" w14:textId="77777777" w:rsidR="00B4481F" w:rsidRPr="00CC7D0B" w:rsidRDefault="00B4481F" w:rsidP="00B4481F">
      <w:pPr>
        <w:pStyle w:val="Paragrafoelenco"/>
        <w:numPr>
          <w:ilvl w:val="0"/>
          <w:numId w:val="40"/>
        </w:numPr>
        <w:tabs>
          <w:tab w:val="left" w:pos="993"/>
        </w:tabs>
        <w:spacing w:before="120" w:after="120" w:line="276" w:lineRule="auto"/>
        <w:ind w:hanging="11"/>
        <w:jc w:val="both"/>
        <w:rPr>
          <w:rFonts w:ascii="Calibri" w:hAnsi="Calibri" w:cs="Arial"/>
          <w:b/>
          <w:i/>
          <w:sz w:val="20"/>
          <w:szCs w:val="20"/>
        </w:rPr>
      </w:pPr>
      <w:r w:rsidRPr="00CC7D0B">
        <w:rPr>
          <w:rFonts w:ascii="Calibri" w:hAnsi="Calibri" w:cs="Arial"/>
          <w:b/>
          <w:i/>
          <w:sz w:val="20"/>
          <w:szCs w:val="20"/>
        </w:rPr>
        <w:t>Business Intelligence;</w:t>
      </w:r>
    </w:p>
    <w:p w14:paraId="42F94039" w14:textId="77777777" w:rsidR="00B4481F" w:rsidRPr="00CC7D0B" w:rsidRDefault="00B4481F" w:rsidP="00B4481F">
      <w:pPr>
        <w:pStyle w:val="Paragrafoelenco"/>
        <w:numPr>
          <w:ilvl w:val="0"/>
          <w:numId w:val="40"/>
        </w:numPr>
        <w:tabs>
          <w:tab w:val="left" w:pos="993"/>
        </w:tabs>
        <w:spacing w:before="120" w:after="120" w:line="276" w:lineRule="auto"/>
        <w:ind w:hanging="11"/>
        <w:jc w:val="both"/>
        <w:rPr>
          <w:rFonts w:ascii="Calibri" w:hAnsi="Calibri" w:cs="Arial"/>
          <w:b/>
          <w:i/>
          <w:sz w:val="20"/>
          <w:szCs w:val="20"/>
        </w:rPr>
      </w:pPr>
      <w:r w:rsidRPr="00CC7D0B">
        <w:rPr>
          <w:rFonts w:ascii="Calibri" w:hAnsi="Calibri" w:cs="Arial"/>
          <w:b/>
          <w:i/>
          <w:sz w:val="20"/>
          <w:szCs w:val="20"/>
        </w:rPr>
        <w:t>BPM</w:t>
      </w:r>
    </w:p>
    <w:p w14:paraId="775AF5AE" w14:textId="19FB1DB2" w:rsidR="00A158F4" w:rsidRPr="00E22029" w:rsidRDefault="00C13A1A" w:rsidP="00B14D62">
      <w:pPr>
        <w:pStyle w:val="Paragrafoelenco"/>
        <w:numPr>
          <w:ilvl w:val="0"/>
          <w:numId w:val="36"/>
        </w:numPr>
        <w:spacing w:before="120" w:after="120" w:line="276" w:lineRule="auto"/>
        <w:jc w:val="both"/>
        <w:rPr>
          <w:rFonts w:ascii="Calibri" w:hAnsi="Calibri" w:cs="Arial"/>
          <w:sz w:val="20"/>
          <w:szCs w:val="20"/>
        </w:rPr>
      </w:pPr>
      <w:r w:rsidRPr="00B14D62">
        <w:rPr>
          <w:rFonts w:ascii="Calibri" w:hAnsi="Calibri" w:cs="Arial"/>
          <w:sz w:val="20"/>
          <w:szCs w:val="20"/>
        </w:rPr>
        <w:t>l’</w:t>
      </w:r>
      <w:r w:rsidR="00A158F4" w:rsidRPr="00B14D62">
        <w:rPr>
          <w:rFonts w:ascii="Calibri" w:hAnsi="Calibri" w:cs="Arial"/>
          <w:sz w:val="20"/>
          <w:szCs w:val="20"/>
        </w:rPr>
        <w:t>acquisizione di servizi professionali per il Centro di Competenza Specialistica e per un presidio permanente</w:t>
      </w:r>
      <w:r w:rsidR="00B14D62" w:rsidRPr="00F800E6">
        <w:rPr>
          <w:rFonts w:ascii="Calibri" w:hAnsi="Calibri" w:cs="Arial"/>
          <w:sz w:val="20"/>
          <w:szCs w:val="20"/>
        </w:rPr>
        <w:t>, ritenuta da INAIL</w:t>
      </w:r>
      <w:r w:rsidR="00B14D62" w:rsidRPr="00E22029">
        <w:rPr>
          <w:rFonts w:ascii="Calibri" w:hAnsi="Calibri" w:cs="Arial"/>
          <w:sz w:val="20"/>
          <w:szCs w:val="20"/>
        </w:rPr>
        <w:t xml:space="preserve"> come strategica, unitamente a quella di licenze e supporto tecnico (manutenzione), per indirizzare al meglio il raggiungimento dei propri obiettivi di evoluzione delle architetture IT e dei processi organizzativi in coerenza con i propri piani strategici. La tecnologia Oracle, infatti, risulta presente in numerosi sistemi, anche critici, con diverse linee di prodotto e in configurazioni spesso di alta complessità. Inoltre, il fabbisogno del nuovo diritto </w:t>
      </w:r>
      <w:proofErr w:type="spellStart"/>
      <w:r w:rsidR="00B14D62" w:rsidRPr="00E22029">
        <w:rPr>
          <w:rFonts w:ascii="Calibri" w:hAnsi="Calibri" w:cs="Arial"/>
          <w:sz w:val="20"/>
          <w:szCs w:val="20"/>
        </w:rPr>
        <w:t>unlimited</w:t>
      </w:r>
      <w:proofErr w:type="spellEnd"/>
      <w:r w:rsidR="00B14D62" w:rsidRPr="00E22029">
        <w:rPr>
          <w:rFonts w:ascii="Calibri" w:hAnsi="Calibri" w:cs="Arial"/>
          <w:sz w:val="20"/>
          <w:szCs w:val="20"/>
        </w:rPr>
        <w:t xml:space="preserve"> esteso prevede l’acquisizione di ulteriori opzioni di prodotti già compresi nei precedenti contratti, sulle quali è necessario il contributo specialistico della casa madre per velocizzare e massimizzare i benefici derivanti dall’adozione delle nuove tecnologie nel contesto architetturale dell’Istituto.</w:t>
      </w:r>
    </w:p>
    <w:p w14:paraId="7790099F" w14:textId="2C82FA0F" w:rsidR="00A158F4" w:rsidRDefault="00C13A1A" w:rsidP="00F55B8D">
      <w:pPr>
        <w:spacing w:line="360" w:lineRule="auto"/>
        <w:jc w:val="both"/>
        <w:rPr>
          <w:rFonts w:ascii="Calibri" w:hAnsi="Calibri" w:cs="Arial"/>
          <w:sz w:val="20"/>
          <w:szCs w:val="20"/>
        </w:rPr>
      </w:pPr>
      <w:r w:rsidRPr="00F55B8D">
        <w:rPr>
          <w:rFonts w:ascii="Calibri" w:hAnsi="Calibri" w:cs="Arial"/>
          <w:sz w:val="20"/>
          <w:szCs w:val="20"/>
        </w:rPr>
        <w:t>Come noto, l</w:t>
      </w:r>
      <w:r w:rsidR="00A158F4" w:rsidRPr="00F55B8D">
        <w:rPr>
          <w:rFonts w:ascii="Calibri" w:hAnsi="Calibri" w:cs="Arial"/>
          <w:sz w:val="20"/>
          <w:szCs w:val="20"/>
        </w:rPr>
        <w:t>a tipologia di contratto</w:t>
      </w:r>
      <w:r w:rsidRPr="00F55B8D">
        <w:rPr>
          <w:rFonts w:ascii="Calibri" w:hAnsi="Calibri" w:cs="Arial"/>
          <w:sz w:val="20"/>
          <w:szCs w:val="20"/>
        </w:rPr>
        <w:t xml:space="preserve"> </w:t>
      </w:r>
      <w:proofErr w:type="spellStart"/>
      <w:r w:rsidRPr="00F55B8D">
        <w:rPr>
          <w:rFonts w:ascii="Calibri" w:hAnsi="Calibri" w:cs="Arial"/>
          <w:b/>
          <w:sz w:val="20"/>
          <w:szCs w:val="20"/>
        </w:rPr>
        <w:t>Unlimited</w:t>
      </w:r>
      <w:proofErr w:type="spellEnd"/>
      <w:r w:rsidRPr="00F55B8D">
        <w:rPr>
          <w:rFonts w:ascii="Calibri" w:hAnsi="Calibri" w:cs="Arial"/>
          <w:b/>
          <w:sz w:val="20"/>
          <w:szCs w:val="20"/>
        </w:rPr>
        <w:t xml:space="preserve"> License Agreement</w:t>
      </w:r>
      <w:r w:rsidR="00A158F4" w:rsidRPr="00F55B8D">
        <w:rPr>
          <w:rFonts w:ascii="Calibri" w:hAnsi="Calibri" w:cs="Arial"/>
          <w:sz w:val="20"/>
          <w:szCs w:val="20"/>
        </w:rPr>
        <w:t xml:space="preserve"> prevede, una volta stimata la tendenza di crescita delle licenze dei prodotti per gli anni successivi, la fornitura illimitata, per tutta la durata </w:t>
      </w:r>
      <w:r w:rsidR="00A158F4" w:rsidRPr="00F55B8D">
        <w:rPr>
          <w:rFonts w:ascii="Calibri" w:hAnsi="Calibri" w:cs="Arial"/>
          <w:sz w:val="20"/>
          <w:szCs w:val="20"/>
        </w:rPr>
        <w:lastRenderedPageBreak/>
        <w:t xml:space="preserve">contrattuale, delle licenze relative ai prodotti in uso o comunque di interesse dell’Amministrazione, nonché dei relativi servizi di manutenzione, a fronte di un corrispettivo prefissato. In tal maniera, </w:t>
      </w:r>
      <w:r w:rsidR="00F7056B">
        <w:rPr>
          <w:rFonts w:ascii="Calibri" w:hAnsi="Calibri" w:cs="Arial"/>
          <w:sz w:val="20"/>
          <w:szCs w:val="20"/>
        </w:rPr>
        <w:t xml:space="preserve">si consentirà una notevole </w:t>
      </w:r>
      <w:r w:rsidR="00F7056B" w:rsidRPr="00F7056B">
        <w:rPr>
          <w:rFonts w:ascii="Calibri" w:hAnsi="Calibri" w:cs="Arial"/>
          <w:sz w:val="20"/>
          <w:szCs w:val="20"/>
        </w:rPr>
        <w:t>concentrazione dei DB e quindi una riduzione dei processori impegnati</w:t>
      </w:r>
      <w:r w:rsidR="00F7056B" w:rsidRPr="00F55B8D">
        <w:rPr>
          <w:rFonts w:ascii="Calibri" w:hAnsi="Calibri" w:cs="Arial"/>
          <w:sz w:val="20"/>
          <w:szCs w:val="20"/>
        </w:rPr>
        <w:t xml:space="preserve"> </w:t>
      </w:r>
      <w:r w:rsidR="00F7056B">
        <w:rPr>
          <w:rFonts w:ascii="Calibri" w:hAnsi="Calibri" w:cs="Arial"/>
          <w:sz w:val="20"/>
          <w:szCs w:val="20"/>
        </w:rPr>
        <w:t>e sarà possibile</w:t>
      </w:r>
      <w:r w:rsidR="00A158F4" w:rsidRPr="00F55B8D">
        <w:rPr>
          <w:rFonts w:ascii="Calibri" w:hAnsi="Calibri" w:cs="Arial"/>
          <w:sz w:val="20"/>
          <w:szCs w:val="20"/>
        </w:rPr>
        <w:t xml:space="preserve"> conseguire significativi risparmi rispetto </w:t>
      </w:r>
      <w:r w:rsidR="00F7056B">
        <w:rPr>
          <w:rFonts w:ascii="Calibri" w:hAnsi="Calibri" w:cs="Arial"/>
          <w:sz w:val="20"/>
          <w:szCs w:val="20"/>
        </w:rPr>
        <w:t>all’effettuazione del medesimo acquisto,</w:t>
      </w:r>
      <w:r w:rsidR="00A158F4" w:rsidRPr="00F55B8D">
        <w:rPr>
          <w:rFonts w:ascii="Calibri" w:hAnsi="Calibri" w:cs="Arial"/>
          <w:sz w:val="20"/>
          <w:szCs w:val="20"/>
        </w:rPr>
        <w:t xml:space="preserve"> </w:t>
      </w:r>
      <w:r w:rsidR="00F7056B" w:rsidRPr="00F55B8D">
        <w:rPr>
          <w:rFonts w:ascii="Calibri" w:hAnsi="Calibri" w:cs="Arial"/>
          <w:sz w:val="20"/>
          <w:szCs w:val="20"/>
        </w:rPr>
        <w:t>esperit</w:t>
      </w:r>
      <w:r w:rsidR="00F7056B">
        <w:rPr>
          <w:rFonts w:ascii="Calibri" w:hAnsi="Calibri" w:cs="Arial"/>
          <w:sz w:val="20"/>
          <w:szCs w:val="20"/>
        </w:rPr>
        <w:t>o però</w:t>
      </w:r>
      <w:r w:rsidR="00F7056B" w:rsidRPr="00F55B8D">
        <w:rPr>
          <w:rFonts w:ascii="Calibri" w:hAnsi="Calibri" w:cs="Arial"/>
          <w:sz w:val="20"/>
          <w:szCs w:val="20"/>
        </w:rPr>
        <w:t xml:space="preserve"> </w:t>
      </w:r>
      <w:r w:rsidR="00A158F4" w:rsidRPr="00F55B8D">
        <w:rPr>
          <w:rFonts w:ascii="Calibri" w:hAnsi="Calibri" w:cs="Arial"/>
          <w:sz w:val="20"/>
          <w:szCs w:val="20"/>
        </w:rPr>
        <w:t>in modalità tradizionale.</w:t>
      </w:r>
    </w:p>
    <w:p w14:paraId="6BCE0AE0" w14:textId="72F18182" w:rsidR="00A158F4" w:rsidRDefault="00A158F4" w:rsidP="00A158F4">
      <w:pPr>
        <w:spacing w:line="276" w:lineRule="auto"/>
        <w:jc w:val="both"/>
        <w:rPr>
          <w:rFonts w:ascii="Calibri" w:hAnsi="Calibri" w:cs="Arial"/>
          <w:sz w:val="20"/>
          <w:szCs w:val="20"/>
        </w:rPr>
      </w:pPr>
    </w:p>
    <w:p w14:paraId="36024E77" w14:textId="1E8762C1" w:rsidR="00C44DD5" w:rsidRDefault="00C44DD5" w:rsidP="00A158F4">
      <w:pPr>
        <w:spacing w:line="276" w:lineRule="auto"/>
        <w:jc w:val="both"/>
        <w:rPr>
          <w:rFonts w:ascii="Calibri" w:hAnsi="Calibri" w:cs="Arial"/>
          <w:sz w:val="20"/>
          <w:szCs w:val="20"/>
        </w:rPr>
      </w:pPr>
    </w:p>
    <w:p w14:paraId="4AE45516" w14:textId="73973DE2" w:rsidR="00C44DD5" w:rsidRDefault="00C44DD5" w:rsidP="00A158F4">
      <w:pPr>
        <w:spacing w:line="276" w:lineRule="auto"/>
        <w:jc w:val="both"/>
        <w:rPr>
          <w:rFonts w:ascii="Calibri" w:hAnsi="Calibri" w:cs="Arial"/>
          <w:sz w:val="20"/>
          <w:szCs w:val="20"/>
        </w:rPr>
      </w:pPr>
    </w:p>
    <w:p w14:paraId="0C2DEF08" w14:textId="53F65187" w:rsidR="00C44DD5" w:rsidRDefault="00C44DD5" w:rsidP="00A158F4">
      <w:pPr>
        <w:spacing w:line="276" w:lineRule="auto"/>
        <w:jc w:val="both"/>
        <w:rPr>
          <w:rFonts w:ascii="Calibri" w:hAnsi="Calibri" w:cs="Arial"/>
          <w:sz w:val="20"/>
          <w:szCs w:val="20"/>
        </w:rPr>
      </w:pPr>
    </w:p>
    <w:p w14:paraId="2BA27A51" w14:textId="3158D2B2" w:rsidR="00C44DD5" w:rsidRDefault="00C44DD5" w:rsidP="00A158F4">
      <w:pPr>
        <w:spacing w:line="276" w:lineRule="auto"/>
        <w:jc w:val="both"/>
        <w:rPr>
          <w:rFonts w:ascii="Calibri" w:hAnsi="Calibri" w:cs="Arial"/>
          <w:sz w:val="20"/>
          <w:szCs w:val="20"/>
        </w:rPr>
      </w:pPr>
    </w:p>
    <w:p w14:paraId="3797C890" w14:textId="3E209715" w:rsidR="00C44DD5" w:rsidRDefault="00C44DD5" w:rsidP="00A158F4">
      <w:pPr>
        <w:spacing w:line="276" w:lineRule="auto"/>
        <w:jc w:val="both"/>
        <w:rPr>
          <w:rFonts w:ascii="Calibri" w:hAnsi="Calibri" w:cs="Arial"/>
          <w:sz w:val="20"/>
          <w:szCs w:val="20"/>
        </w:rPr>
      </w:pPr>
    </w:p>
    <w:p w14:paraId="0350E869" w14:textId="6E599151" w:rsidR="00C44DD5" w:rsidRDefault="00C44DD5" w:rsidP="00A158F4">
      <w:pPr>
        <w:spacing w:line="276" w:lineRule="auto"/>
        <w:jc w:val="both"/>
        <w:rPr>
          <w:rFonts w:ascii="Calibri" w:hAnsi="Calibri" w:cs="Arial"/>
          <w:sz w:val="20"/>
          <w:szCs w:val="20"/>
        </w:rPr>
      </w:pPr>
    </w:p>
    <w:p w14:paraId="7D28C6F5" w14:textId="38B12A2F" w:rsidR="00C44DD5" w:rsidRDefault="00C44DD5" w:rsidP="00A158F4">
      <w:pPr>
        <w:spacing w:line="276" w:lineRule="auto"/>
        <w:jc w:val="both"/>
        <w:rPr>
          <w:rFonts w:ascii="Calibri" w:hAnsi="Calibri" w:cs="Arial"/>
          <w:sz w:val="20"/>
          <w:szCs w:val="20"/>
        </w:rPr>
      </w:pPr>
    </w:p>
    <w:p w14:paraId="7FAC2569" w14:textId="7AC9A545" w:rsidR="00C44DD5" w:rsidRDefault="00C44DD5" w:rsidP="00A158F4">
      <w:pPr>
        <w:spacing w:line="276" w:lineRule="auto"/>
        <w:jc w:val="both"/>
        <w:rPr>
          <w:rFonts w:ascii="Calibri" w:hAnsi="Calibri" w:cs="Arial"/>
          <w:sz w:val="20"/>
          <w:szCs w:val="20"/>
        </w:rPr>
      </w:pPr>
    </w:p>
    <w:p w14:paraId="24D6364A" w14:textId="0BACCA12" w:rsidR="00C44DD5" w:rsidRDefault="00C44DD5" w:rsidP="00A158F4">
      <w:pPr>
        <w:spacing w:line="276" w:lineRule="auto"/>
        <w:jc w:val="both"/>
        <w:rPr>
          <w:rFonts w:ascii="Calibri" w:hAnsi="Calibri" w:cs="Arial"/>
          <w:sz w:val="20"/>
          <w:szCs w:val="20"/>
        </w:rPr>
      </w:pPr>
    </w:p>
    <w:p w14:paraId="7ED0C923" w14:textId="74EF06AF" w:rsidR="00C44DD5" w:rsidRDefault="00C44DD5" w:rsidP="00A158F4">
      <w:pPr>
        <w:spacing w:line="276" w:lineRule="auto"/>
        <w:jc w:val="both"/>
        <w:rPr>
          <w:rFonts w:ascii="Calibri" w:hAnsi="Calibri" w:cs="Arial"/>
          <w:sz w:val="20"/>
          <w:szCs w:val="20"/>
        </w:rPr>
      </w:pPr>
    </w:p>
    <w:p w14:paraId="10E05460" w14:textId="6451675E" w:rsidR="00C44DD5" w:rsidRDefault="00C44DD5" w:rsidP="00A158F4">
      <w:pPr>
        <w:spacing w:line="276" w:lineRule="auto"/>
        <w:jc w:val="both"/>
        <w:rPr>
          <w:rFonts w:ascii="Calibri" w:hAnsi="Calibri" w:cs="Arial"/>
          <w:sz w:val="20"/>
          <w:szCs w:val="20"/>
        </w:rPr>
      </w:pPr>
    </w:p>
    <w:p w14:paraId="21F7682D" w14:textId="44A78DE2" w:rsidR="00C44DD5" w:rsidRDefault="00C44DD5" w:rsidP="00A158F4">
      <w:pPr>
        <w:spacing w:line="276" w:lineRule="auto"/>
        <w:jc w:val="both"/>
        <w:rPr>
          <w:rFonts w:ascii="Calibri" w:hAnsi="Calibri" w:cs="Arial"/>
          <w:sz w:val="20"/>
          <w:szCs w:val="20"/>
        </w:rPr>
      </w:pPr>
    </w:p>
    <w:p w14:paraId="6AFAF4AF" w14:textId="1B59F126" w:rsidR="00C44DD5" w:rsidRDefault="00C44DD5" w:rsidP="00A158F4">
      <w:pPr>
        <w:spacing w:line="276" w:lineRule="auto"/>
        <w:jc w:val="both"/>
        <w:rPr>
          <w:rFonts w:ascii="Calibri" w:hAnsi="Calibri" w:cs="Arial"/>
          <w:sz w:val="20"/>
          <w:szCs w:val="20"/>
        </w:rPr>
      </w:pPr>
    </w:p>
    <w:p w14:paraId="6484FA72" w14:textId="1E9171A7" w:rsidR="00C44DD5" w:rsidRDefault="00C44DD5" w:rsidP="00A158F4">
      <w:pPr>
        <w:spacing w:line="276" w:lineRule="auto"/>
        <w:jc w:val="both"/>
        <w:rPr>
          <w:rFonts w:ascii="Calibri" w:hAnsi="Calibri" w:cs="Arial"/>
          <w:sz w:val="20"/>
          <w:szCs w:val="20"/>
        </w:rPr>
      </w:pPr>
    </w:p>
    <w:p w14:paraId="4CC1E809" w14:textId="5C3D2E72" w:rsidR="00C44DD5" w:rsidRDefault="00C44DD5" w:rsidP="00A158F4">
      <w:pPr>
        <w:spacing w:line="276" w:lineRule="auto"/>
        <w:jc w:val="both"/>
        <w:rPr>
          <w:rFonts w:ascii="Calibri" w:hAnsi="Calibri" w:cs="Arial"/>
          <w:sz w:val="20"/>
          <w:szCs w:val="20"/>
        </w:rPr>
      </w:pPr>
    </w:p>
    <w:p w14:paraId="322BB9B6" w14:textId="587F8B12" w:rsidR="00C44DD5" w:rsidRDefault="00C44DD5" w:rsidP="00A158F4">
      <w:pPr>
        <w:spacing w:line="276" w:lineRule="auto"/>
        <w:jc w:val="both"/>
        <w:rPr>
          <w:rFonts w:ascii="Calibri" w:hAnsi="Calibri" w:cs="Arial"/>
          <w:sz w:val="20"/>
          <w:szCs w:val="20"/>
        </w:rPr>
      </w:pPr>
    </w:p>
    <w:p w14:paraId="30071A11" w14:textId="6A1CA89F" w:rsidR="00C44DD5" w:rsidRDefault="00C44DD5" w:rsidP="00A158F4">
      <w:pPr>
        <w:spacing w:line="276" w:lineRule="auto"/>
        <w:jc w:val="both"/>
        <w:rPr>
          <w:rFonts w:ascii="Calibri" w:hAnsi="Calibri" w:cs="Arial"/>
          <w:sz w:val="20"/>
          <w:szCs w:val="20"/>
        </w:rPr>
      </w:pPr>
    </w:p>
    <w:p w14:paraId="687DDC90" w14:textId="78E8C815" w:rsidR="00C44DD5" w:rsidRDefault="00C44DD5" w:rsidP="00A158F4">
      <w:pPr>
        <w:spacing w:line="276" w:lineRule="auto"/>
        <w:jc w:val="both"/>
        <w:rPr>
          <w:rFonts w:ascii="Calibri" w:hAnsi="Calibri" w:cs="Arial"/>
          <w:sz w:val="20"/>
          <w:szCs w:val="20"/>
        </w:rPr>
      </w:pPr>
    </w:p>
    <w:p w14:paraId="1550C059" w14:textId="7F1EBF17" w:rsidR="00C44DD5" w:rsidRDefault="00C44DD5" w:rsidP="00A158F4">
      <w:pPr>
        <w:spacing w:line="276" w:lineRule="auto"/>
        <w:jc w:val="both"/>
        <w:rPr>
          <w:rFonts w:ascii="Calibri" w:hAnsi="Calibri" w:cs="Arial"/>
          <w:sz w:val="20"/>
          <w:szCs w:val="20"/>
        </w:rPr>
      </w:pPr>
    </w:p>
    <w:p w14:paraId="5995BFE7" w14:textId="0C5FFBD7" w:rsidR="00C44DD5" w:rsidRDefault="00C44DD5" w:rsidP="00A158F4">
      <w:pPr>
        <w:spacing w:line="276" w:lineRule="auto"/>
        <w:jc w:val="both"/>
        <w:rPr>
          <w:rFonts w:ascii="Calibri" w:hAnsi="Calibri" w:cs="Arial"/>
          <w:sz w:val="20"/>
          <w:szCs w:val="20"/>
        </w:rPr>
      </w:pPr>
    </w:p>
    <w:p w14:paraId="594D0CA5" w14:textId="077C3A11" w:rsidR="00C44DD5" w:rsidRDefault="00C44DD5" w:rsidP="00A158F4">
      <w:pPr>
        <w:spacing w:line="276" w:lineRule="auto"/>
        <w:jc w:val="both"/>
        <w:rPr>
          <w:rFonts w:ascii="Calibri" w:hAnsi="Calibri" w:cs="Arial"/>
          <w:sz w:val="20"/>
          <w:szCs w:val="20"/>
        </w:rPr>
      </w:pPr>
    </w:p>
    <w:p w14:paraId="43CC62E3" w14:textId="3F4410A3" w:rsidR="00C44DD5" w:rsidRDefault="00C44DD5" w:rsidP="00A158F4">
      <w:pPr>
        <w:spacing w:line="276" w:lineRule="auto"/>
        <w:jc w:val="both"/>
        <w:rPr>
          <w:rFonts w:ascii="Calibri" w:hAnsi="Calibri" w:cs="Arial"/>
          <w:sz w:val="20"/>
          <w:szCs w:val="20"/>
        </w:rPr>
      </w:pPr>
    </w:p>
    <w:p w14:paraId="313F24B1" w14:textId="4DE9B2B6" w:rsidR="00C44DD5" w:rsidRDefault="00C44DD5" w:rsidP="00A158F4">
      <w:pPr>
        <w:spacing w:line="276" w:lineRule="auto"/>
        <w:jc w:val="both"/>
        <w:rPr>
          <w:rFonts w:ascii="Calibri" w:hAnsi="Calibri" w:cs="Arial"/>
          <w:sz w:val="20"/>
          <w:szCs w:val="20"/>
        </w:rPr>
      </w:pPr>
    </w:p>
    <w:p w14:paraId="1979D666" w14:textId="741637FF" w:rsidR="00C44DD5" w:rsidRDefault="00C44DD5" w:rsidP="00A158F4">
      <w:pPr>
        <w:spacing w:line="276" w:lineRule="auto"/>
        <w:jc w:val="both"/>
        <w:rPr>
          <w:rFonts w:ascii="Calibri" w:hAnsi="Calibri" w:cs="Arial"/>
          <w:sz w:val="20"/>
          <w:szCs w:val="20"/>
        </w:rPr>
      </w:pPr>
    </w:p>
    <w:p w14:paraId="136F240E" w14:textId="6A13DE8B" w:rsidR="00C44DD5" w:rsidRDefault="00C44DD5" w:rsidP="00A158F4">
      <w:pPr>
        <w:spacing w:line="276" w:lineRule="auto"/>
        <w:jc w:val="both"/>
        <w:rPr>
          <w:rFonts w:ascii="Calibri" w:hAnsi="Calibri" w:cs="Arial"/>
          <w:sz w:val="20"/>
          <w:szCs w:val="20"/>
        </w:rPr>
      </w:pPr>
    </w:p>
    <w:p w14:paraId="174D6366" w14:textId="2AEF141D" w:rsidR="00C44DD5" w:rsidRDefault="00C44DD5" w:rsidP="00A158F4">
      <w:pPr>
        <w:spacing w:line="276" w:lineRule="auto"/>
        <w:jc w:val="both"/>
        <w:rPr>
          <w:rFonts w:ascii="Calibri" w:hAnsi="Calibri" w:cs="Arial"/>
          <w:sz w:val="20"/>
          <w:szCs w:val="20"/>
        </w:rPr>
      </w:pPr>
    </w:p>
    <w:p w14:paraId="30E36F7B" w14:textId="79ADCE7A" w:rsidR="00C44DD5" w:rsidRDefault="00C44DD5" w:rsidP="00A158F4">
      <w:pPr>
        <w:spacing w:line="276" w:lineRule="auto"/>
        <w:jc w:val="both"/>
        <w:rPr>
          <w:rFonts w:ascii="Calibri" w:hAnsi="Calibri" w:cs="Arial"/>
          <w:sz w:val="20"/>
          <w:szCs w:val="20"/>
        </w:rPr>
      </w:pPr>
    </w:p>
    <w:p w14:paraId="1BD70A5F" w14:textId="10F84A13" w:rsidR="00C44DD5" w:rsidRDefault="00C44DD5" w:rsidP="00A158F4">
      <w:pPr>
        <w:spacing w:line="276" w:lineRule="auto"/>
        <w:jc w:val="both"/>
        <w:rPr>
          <w:rFonts w:ascii="Calibri" w:hAnsi="Calibri" w:cs="Arial"/>
          <w:sz w:val="20"/>
          <w:szCs w:val="20"/>
        </w:rPr>
      </w:pPr>
    </w:p>
    <w:p w14:paraId="203E6FE1" w14:textId="7781A1F6" w:rsidR="00C44DD5" w:rsidRDefault="00C44DD5" w:rsidP="00A158F4">
      <w:pPr>
        <w:spacing w:line="276" w:lineRule="auto"/>
        <w:jc w:val="both"/>
        <w:rPr>
          <w:rFonts w:ascii="Calibri" w:hAnsi="Calibri" w:cs="Arial"/>
          <w:sz w:val="20"/>
          <w:szCs w:val="20"/>
        </w:rPr>
      </w:pPr>
    </w:p>
    <w:p w14:paraId="432F3FE5" w14:textId="4AC03799" w:rsidR="00C44DD5" w:rsidRDefault="00C44DD5" w:rsidP="00A158F4">
      <w:pPr>
        <w:spacing w:line="276" w:lineRule="auto"/>
        <w:jc w:val="both"/>
        <w:rPr>
          <w:rFonts w:ascii="Calibri" w:hAnsi="Calibri" w:cs="Arial"/>
          <w:sz w:val="20"/>
          <w:szCs w:val="20"/>
        </w:rPr>
      </w:pPr>
    </w:p>
    <w:p w14:paraId="4B21D83A" w14:textId="28C76616" w:rsidR="00C44DD5" w:rsidRDefault="00C44DD5" w:rsidP="00A158F4">
      <w:pPr>
        <w:spacing w:line="276" w:lineRule="auto"/>
        <w:jc w:val="both"/>
        <w:rPr>
          <w:rFonts w:ascii="Calibri" w:hAnsi="Calibri" w:cs="Arial"/>
          <w:sz w:val="20"/>
          <w:szCs w:val="20"/>
        </w:rPr>
      </w:pPr>
    </w:p>
    <w:p w14:paraId="04A42C58" w14:textId="70A511AD" w:rsidR="00C44DD5" w:rsidRDefault="00C44DD5" w:rsidP="00A158F4">
      <w:pPr>
        <w:spacing w:line="276" w:lineRule="auto"/>
        <w:jc w:val="both"/>
        <w:rPr>
          <w:rFonts w:ascii="Calibri" w:hAnsi="Calibri" w:cs="Arial"/>
          <w:sz w:val="20"/>
          <w:szCs w:val="20"/>
        </w:rPr>
      </w:pPr>
    </w:p>
    <w:p w14:paraId="07A3FF4E" w14:textId="7C96FA02" w:rsidR="00C44DD5" w:rsidRDefault="00C44DD5" w:rsidP="00A158F4">
      <w:pPr>
        <w:spacing w:line="276" w:lineRule="auto"/>
        <w:jc w:val="both"/>
        <w:rPr>
          <w:rFonts w:ascii="Calibri" w:hAnsi="Calibri" w:cs="Arial"/>
          <w:sz w:val="20"/>
          <w:szCs w:val="20"/>
        </w:rPr>
      </w:pPr>
    </w:p>
    <w:p w14:paraId="47020E12" w14:textId="2B5037BA" w:rsidR="00C44DD5" w:rsidRDefault="00C44DD5" w:rsidP="00A158F4">
      <w:pPr>
        <w:spacing w:line="276" w:lineRule="auto"/>
        <w:jc w:val="both"/>
        <w:rPr>
          <w:rFonts w:ascii="Calibri" w:hAnsi="Calibri" w:cs="Arial"/>
          <w:sz w:val="20"/>
          <w:szCs w:val="20"/>
        </w:rPr>
      </w:pPr>
    </w:p>
    <w:p w14:paraId="3F76B2C3" w14:textId="6085151E" w:rsidR="00C44DD5" w:rsidRDefault="00C44DD5" w:rsidP="00A158F4">
      <w:pPr>
        <w:spacing w:line="276" w:lineRule="auto"/>
        <w:jc w:val="both"/>
        <w:rPr>
          <w:rFonts w:ascii="Calibri" w:hAnsi="Calibri" w:cs="Arial"/>
          <w:sz w:val="20"/>
          <w:szCs w:val="20"/>
        </w:rPr>
      </w:pPr>
    </w:p>
    <w:p w14:paraId="6C87FF94" w14:textId="20143A82" w:rsidR="00C44DD5" w:rsidRDefault="00C44DD5" w:rsidP="00A158F4">
      <w:pPr>
        <w:spacing w:line="276" w:lineRule="auto"/>
        <w:jc w:val="both"/>
        <w:rPr>
          <w:rFonts w:ascii="Calibri" w:hAnsi="Calibri" w:cs="Arial"/>
          <w:sz w:val="20"/>
          <w:szCs w:val="20"/>
        </w:rPr>
      </w:pPr>
    </w:p>
    <w:p w14:paraId="431553BC" w14:textId="77777777" w:rsidR="00C44DD5" w:rsidRDefault="00C44DD5" w:rsidP="00A158F4">
      <w:pPr>
        <w:spacing w:line="276" w:lineRule="auto"/>
        <w:jc w:val="both"/>
        <w:rPr>
          <w:rFonts w:ascii="Calibri" w:hAnsi="Calibri" w:cs="Arial"/>
          <w:sz w:val="20"/>
          <w:szCs w:val="20"/>
        </w:rPr>
      </w:pPr>
    </w:p>
    <w:p w14:paraId="57A9008D" w14:textId="77777777" w:rsidR="008E2C98" w:rsidRDefault="008E2C98" w:rsidP="007676A3">
      <w:pPr>
        <w:spacing w:line="276" w:lineRule="auto"/>
        <w:jc w:val="both"/>
        <w:rPr>
          <w:rFonts w:ascii="Calibri" w:hAnsi="Calibri" w:cs="Arial"/>
          <w:b/>
          <w:sz w:val="20"/>
          <w:szCs w:val="20"/>
        </w:rPr>
      </w:pPr>
    </w:p>
    <w:p w14:paraId="13CF579F" w14:textId="1B2AA0E8" w:rsidR="00E972D1" w:rsidRPr="00C67C2E" w:rsidRDefault="007676A3" w:rsidP="007676A3">
      <w:pPr>
        <w:spacing w:line="276" w:lineRule="auto"/>
        <w:jc w:val="both"/>
        <w:rPr>
          <w:rFonts w:ascii="Calibri" w:hAnsi="Calibri" w:cs="Arial"/>
          <w:b/>
        </w:rPr>
      </w:pPr>
      <w:r w:rsidRPr="00C67C2E">
        <w:rPr>
          <w:rFonts w:ascii="Calibri" w:hAnsi="Calibri" w:cs="Arial"/>
          <w:b/>
        </w:rPr>
        <w:lastRenderedPageBreak/>
        <w:t>D</w:t>
      </w:r>
      <w:r w:rsidR="00C67C2E">
        <w:rPr>
          <w:rFonts w:ascii="Calibri" w:hAnsi="Calibri" w:cs="Arial"/>
          <w:b/>
        </w:rPr>
        <w:t>escrizione del fabbisogno.</w:t>
      </w:r>
    </w:p>
    <w:p w14:paraId="1E40DACB" w14:textId="61A43F72" w:rsidR="007676A3" w:rsidRPr="007B5F2D" w:rsidRDefault="007676A3" w:rsidP="0036261E">
      <w:pPr>
        <w:pStyle w:val="Paragrafoelenco"/>
        <w:numPr>
          <w:ilvl w:val="0"/>
          <w:numId w:val="29"/>
        </w:numPr>
        <w:spacing w:before="120" w:after="120" w:line="360" w:lineRule="auto"/>
        <w:ind w:hanging="357"/>
        <w:jc w:val="both"/>
        <w:rPr>
          <w:rFonts w:ascii="Calibri" w:hAnsi="Calibri" w:cs="Arial"/>
          <w:b/>
          <w:sz w:val="20"/>
          <w:szCs w:val="20"/>
        </w:rPr>
      </w:pPr>
      <w:r w:rsidRPr="007B5F2D">
        <w:rPr>
          <w:rFonts w:ascii="Calibri" w:hAnsi="Calibri" w:cs="Arial"/>
          <w:b/>
          <w:sz w:val="20"/>
          <w:szCs w:val="20"/>
        </w:rPr>
        <w:t>L</w:t>
      </w:r>
      <w:r w:rsidR="007B5F2D" w:rsidRPr="007B5F2D">
        <w:rPr>
          <w:rFonts w:ascii="Calibri" w:hAnsi="Calibri" w:cs="Arial"/>
          <w:b/>
          <w:sz w:val="20"/>
          <w:szCs w:val="20"/>
        </w:rPr>
        <w:t xml:space="preserve">ICENZE E </w:t>
      </w:r>
      <w:r w:rsidR="00E972D1">
        <w:rPr>
          <w:rFonts w:ascii="Calibri" w:hAnsi="Calibri" w:cs="Arial"/>
          <w:b/>
          <w:sz w:val="20"/>
          <w:szCs w:val="20"/>
        </w:rPr>
        <w:t>MANUTENZIONE</w:t>
      </w:r>
      <w:r w:rsidR="007B5F2D" w:rsidRPr="007B5F2D">
        <w:rPr>
          <w:rFonts w:ascii="Calibri" w:hAnsi="Calibri" w:cs="Arial"/>
          <w:b/>
          <w:sz w:val="20"/>
          <w:szCs w:val="20"/>
        </w:rPr>
        <w:t>:</w:t>
      </w:r>
    </w:p>
    <w:p w14:paraId="39167231" w14:textId="433CAF04" w:rsidR="007676A3" w:rsidRPr="00E339C4" w:rsidRDefault="007676A3" w:rsidP="0036261E">
      <w:pPr>
        <w:pStyle w:val="Paragrafoelenco"/>
        <w:numPr>
          <w:ilvl w:val="1"/>
          <w:numId w:val="29"/>
        </w:numPr>
        <w:spacing w:before="120" w:after="120" w:line="360" w:lineRule="auto"/>
        <w:ind w:hanging="357"/>
        <w:jc w:val="both"/>
        <w:rPr>
          <w:rFonts w:ascii="Calibri" w:hAnsi="Calibri" w:cs="Arial"/>
          <w:sz w:val="20"/>
          <w:szCs w:val="20"/>
        </w:rPr>
      </w:pPr>
      <w:r w:rsidRPr="007676A3">
        <w:rPr>
          <w:rFonts w:ascii="Calibri" w:hAnsi="Calibri" w:cs="Arial"/>
          <w:sz w:val="20"/>
          <w:szCs w:val="20"/>
        </w:rPr>
        <w:t>licenze di prodotti</w:t>
      </w:r>
      <w:r w:rsidR="00FF0B5B">
        <w:rPr>
          <w:rFonts w:ascii="Calibri" w:hAnsi="Calibri" w:cs="Arial"/>
          <w:sz w:val="20"/>
          <w:szCs w:val="20"/>
        </w:rPr>
        <w:t>,</w:t>
      </w:r>
      <w:r w:rsidRPr="007676A3">
        <w:rPr>
          <w:rFonts w:ascii="Calibri" w:hAnsi="Calibri" w:cs="Arial"/>
          <w:sz w:val="20"/>
          <w:szCs w:val="20"/>
        </w:rPr>
        <w:t xml:space="preserve"> attualmente </w:t>
      </w:r>
      <w:r w:rsidR="000A5DDF">
        <w:rPr>
          <w:rFonts w:ascii="Calibri" w:hAnsi="Calibri" w:cs="Arial"/>
          <w:sz w:val="20"/>
          <w:szCs w:val="20"/>
        </w:rPr>
        <w:t xml:space="preserve">in uso, di cui è richiesto </w:t>
      </w:r>
      <w:r w:rsidR="00FF0B5B">
        <w:rPr>
          <w:rFonts w:ascii="Calibri" w:hAnsi="Calibri" w:cs="Arial"/>
          <w:sz w:val="20"/>
          <w:szCs w:val="20"/>
        </w:rPr>
        <w:t xml:space="preserve">il rinnovo della </w:t>
      </w:r>
      <w:r w:rsidR="00FF0B5B" w:rsidRPr="00476BF9">
        <w:rPr>
          <w:rFonts w:ascii="Calibri" w:hAnsi="Calibri" w:cs="Arial"/>
          <w:b/>
          <w:sz w:val="20"/>
          <w:szCs w:val="20"/>
        </w:rPr>
        <w:t xml:space="preserve">modalità </w:t>
      </w:r>
      <w:proofErr w:type="spellStart"/>
      <w:r w:rsidR="00FF0B5B" w:rsidRPr="00476BF9">
        <w:rPr>
          <w:rFonts w:ascii="Calibri" w:hAnsi="Calibri" w:cs="Arial"/>
          <w:b/>
          <w:sz w:val="20"/>
          <w:szCs w:val="20"/>
        </w:rPr>
        <w:t>Unlimited</w:t>
      </w:r>
      <w:proofErr w:type="spellEnd"/>
      <w:r w:rsidR="00FF0B5B" w:rsidRPr="00476BF9">
        <w:rPr>
          <w:rFonts w:ascii="Calibri" w:hAnsi="Calibri" w:cs="Arial"/>
          <w:b/>
          <w:sz w:val="20"/>
          <w:szCs w:val="20"/>
        </w:rPr>
        <w:t xml:space="preserve"> License Agreement (ULA)</w:t>
      </w:r>
      <w:r w:rsidR="00FF0B5B">
        <w:rPr>
          <w:rFonts w:ascii="Calibri" w:hAnsi="Calibri" w:cs="Arial"/>
          <w:sz w:val="20"/>
          <w:szCs w:val="20"/>
        </w:rPr>
        <w:t xml:space="preserve">, ed il </w:t>
      </w:r>
      <w:r w:rsidR="000A5DDF">
        <w:rPr>
          <w:rFonts w:ascii="Calibri" w:hAnsi="Calibri" w:cs="Arial"/>
          <w:sz w:val="20"/>
          <w:szCs w:val="20"/>
        </w:rPr>
        <w:t xml:space="preserve">supporto </w:t>
      </w:r>
      <w:r w:rsidR="000A5DDF" w:rsidRPr="007676A3">
        <w:rPr>
          <w:rFonts w:ascii="Calibri" w:hAnsi="Calibri" w:cs="Arial"/>
          <w:sz w:val="20"/>
          <w:szCs w:val="20"/>
        </w:rPr>
        <w:t>di manutenzione</w:t>
      </w:r>
      <w:r w:rsidR="000A5DDF">
        <w:rPr>
          <w:rFonts w:ascii="Calibri" w:hAnsi="Calibri" w:cs="Arial"/>
          <w:sz w:val="20"/>
          <w:szCs w:val="20"/>
        </w:rPr>
        <w:t>,</w:t>
      </w:r>
      <w:r w:rsidR="000A5DDF" w:rsidRPr="007676A3">
        <w:rPr>
          <w:rFonts w:ascii="Calibri" w:hAnsi="Calibri" w:cs="Arial"/>
          <w:sz w:val="20"/>
          <w:szCs w:val="20"/>
        </w:rPr>
        <w:t xml:space="preserve"> per un periodo di 36 mesi</w:t>
      </w:r>
      <w:r w:rsidR="00FF0B5B">
        <w:rPr>
          <w:rFonts w:ascii="Calibri" w:hAnsi="Calibri" w:cs="Arial"/>
          <w:sz w:val="20"/>
          <w:szCs w:val="20"/>
        </w:rPr>
        <w:t>:</w:t>
      </w:r>
      <w:r w:rsidR="00474B14">
        <w:rPr>
          <w:rFonts w:ascii="Calibri" w:hAnsi="Calibri" w:cs="Arial"/>
          <w:sz w:val="20"/>
          <w:szCs w:val="20"/>
        </w:rPr>
        <w:t xml:space="preserve"> </w:t>
      </w:r>
    </w:p>
    <w:p w14:paraId="681B0B30" w14:textId="03013C68" w:rsidR="00FF0B5B" w:rsidRDefault="00FF0B5B" w:rsidP="00FF0B5B">
      <w:pPr>
        <w:pStyle w:val="Paragrafoelenco"/>
        <w:spacing w:before="120" w:after="120" w:line="276" w:lineRule="auto"/>
        <w:ind w:left="360"/>
        <w:jc w:val="both"/>
        <w:rPr>
          <w:rFonts w:ascii="Calibri" w:hAnsi="Calibri" w:cs="Arial"/>
          <w:sz w:val="20"/>
          <w:szCs w:val="20"/>
        </w:rPr>
      </w:pPr>
    </w:p>
    <w:p w14:paraId="6177218B" w14:textId="1267086C" w:rsidR="008E2C98" w:rsidRDefault="008E2C98" w:rsidP="00F80AA4">
      <w:pPr>
        <w:pStyle w:val="Paragrafoelenco"/>
        <w:spacing w:before="120" w:after="120" w:line="276" w:lineRule="auto"/>
        <w:ind w:left="0"/>
        <w:jc w:val="center"/>
        <w:rPr>
          <w:rFonts w:ascii="Calibri" w:hAnsi="Calibri" w:cs="Arial"/>
          <w:sz w:val="20"/>
          <w:szCs w:val="20"/>
        </w:rPr>
      </w:pPr>
      <w:r w:rsidRPr="008E2C98">
        <w:rPr>
          <w:noProof/>
        </w:rPr>
        <w:drawing>
          <wp:inline distT="0" distB="0" distL="0" distR="0" wp14:anchorId="1E4CDFC0" wp14:editId="537BB4DD">
            <wp:extent cx="4161070" cy="136588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5435" cy="1380448"/>
                    </a:xfrm>
                    <a:prstGeom prst="rect">
                      <a:avLst/>
                    </a:prstGeom>
                    <a:noFill/>
                    <a:ln>
                      <a:noFill/>
                    </a:ln>
                  </pic:spPr>
                </pic:pic>
              </a:graphicData>
            </a:graphic>
          </wp:inline>
        </w:drawing>
      </w:r>
    </w:p>
    <w:p w14:paraId="7DD0D122" w14:textId="504905AE" w:rsidR="00BD3DAD" w:rsidRDefault="00FF0B5B" w:rsidP="007676A3">
      <w:pPr>
        <w:pStyle w:val="Paragrafoelenco"/>
        <w:numPr>
          <w:ilvl w:val="1"/>
          <w:numId w:val="29"/>
        </w:numPr>
        <w:spacing w:before="120" w:after="120" w:line="276" w:lineRule="auto"/>
        <w:jc w:val="both"/>
        <w:rPr>
          <w:rFonts w:ascii="Calibri" w:hAnsi="Calibri" w:cs="Arial"/>
          <w:sz w:val="20"/>
          <w:szCs w:val="20"/>
        </w:rPr>
      </w:pPr>
      <w:r>
        <w:rPr>
          <w:rFonts w:ascii="Calibri" w:hAnsi="Calibri" w:cs="Arial"/>
          <w:sz w:val="20"/>
          <w:szCs w:val="20"/>
        </w:rPr>
        <w:t xml:space="preserve">licenze di prodotti, attualmente in uso, di cui è richiesto il </w:t>
      </w:r>
      <w:r w:rsidR="00BD3DAD" w:rsidRPr="00BD3DAD">
        <w:rPr>
          <w:rFonts w:ascii="Calibri" w:hAnsi="Calibri" w:cs="Arial"/>
          <w:sz w:val="20"/>
          <w:szCs w:val="20"/>
        </w:rPr>
        <w:t>supporto di manutenzione per 36 mesi</w:t>
      </w:r>
      <w:r w:rsidR="00BD3DAD">
        <w:rPr>
          <w:rFonts w:ascii="Calibri" w:hAnsi="Calibri" w:cs="Arial"/>
          <w:sz w:val="20"/>
          <w:szCs w:val="20"/>
        </w:rPr>
        <w:t>:</w:t>
      </w:r>
    </w:p>
    <w:p w14:paraId="1C6BCD30" w14:textId="203A6B02" w:rsidR="00FF0B5B" w:rsidRDefault="00C44DD5" w:rsidP="00F80AA4">
      <w:pPr>
        <w:spacing w:before="120" w:after="120" w:line="276" w:lineRule="auto"/>
        <w:jc w:val="center"/>
        <w:rPr>
          <w:rFonts w:ascii="Calibri" w:hAnsi="Calibri" w:cs="Arial"/>
          <w:sz w:val="20"/>
          <w:szCs w:val="20"/>
        </w:rPr>
      </w:pPr>
      <w:r w:rsidRPr="00C44DD5">
        <w:rPr>
          <w:noProof/>
        </w:rPr>
        <w:drawing>
          <wp:inline distT="0" distB="0" distL="0" distR="0" wp14:anchorId="2CC7E867" wp14:editId="7C77D160">
            <wp:extent cx="4133850" cy="5079977"/>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8201" cy="5109902"/>
                    </a:xfrm>
                    <a:prstGeom prst="rect">
                      <a:avLst/>
                    </a:prstGeom>
                    <a:noFill/>
                    <a:ln>
                      <a:noFill/>
                    </a:ln>
                  </pic:spPr>
                </pic:pic>
              </a:graphicData>
            </a:graphic>
          </wp:inline>
        </w:drawing>
      </w:r>
    </w:p>
    <w:p w14:paraId="7686C7B1" w14:textId="77777777" w:rsidR="001D2966" w:rsidRDefault="001D2966" w:rsidP="00FF0B5B">
      <w:pPr>
        <w:spacing w:before="120" w:after="120" w:line="276" w:lineRule="auto"/>
        <w:jc w:val="both"/>
        <w:rPr>
          <w:rFonts w:ascii="Calibri" w:hAnsi="Calibri" w:cs="Arial"/>
          <w:sz w:val="20"/>
          <w:szCs w:val="20"/>
        </w:rPr>
      </w:pPr>
    </w:p>
    <w:p w14:paraId="42B86E11" w14:textId="78D1B4E9" w:rsidR="00B001EE" w:rsidRPr="007B5F2D" w:rsidRDefault="00B001EE" w:rsidP="00B001EE">
      <w:pPr>
        <w:pStyle w:val="Paragrafoelenco"/>
        <w:numPr>
          <w:ilvl w:val="0"/>
          <w:numId w:val="29"/>
        </w:numPr>
        <w:spacing w:before="120" w:after="120" w:line="276" w:lineRule="auto"/>
        <w:jc w:val="both"/>
        <w:rPr>
          <w:rFonts w:ascii="Calibri" w:hAnsi="Calibri" w:cs="Arial"/>
          <w:b/>
          <w:sz w:val="20"/>
          <w:szCs w:val="20"/>
        </w:rPr>
      </w:pPr>
      <w:r w:rsidRPr="007B5F2D">
        <w:rPr>
          <w:rFonts w:ascii="Calibri" w:hAnsi="Calibri" w:cs="Arial"/>
          <w:b/>
          <w:sz w:val="20"/>
          <w:szCs w:val="20"/>
        </w:rPr>
        <w:lastRenderedPageBreak/>
        <w:t>S</w:t>
      </w:r>
      <w:r w:rsidR="007B5F2D">
        <w:rPr>
          <w:rFonts w:ascii="Calibri" w:hAnsi="Calibri" w:cs="Arial"/>
          <w:b/>
          <w:sz w:val="20"/>
          <w:szCs w:val="20"/>
        </w:rPr>
        <w:t>ERVIZI PROFESSIONALI</w:t>
      </w:r>
      <w:r w:rsidRPr="007B5F2D">
        <w:rPr>
          <w:rFonts w:ascii="Calibri" w:hAnsi="Calibri" w:cs="Arial"/>
          <w:b/>
          <w:sz w:val="20"/>
          <w:szCs w:val="20"/>
        </w:rPr>
        <w:t>:</w:t>
      </w:r>
    </w:p>
    <w:p w14:paraId="35C6D35B" w14:textId="4EB24C40" w:rsidR="00BD3DAD" w:rsidRDefault="00B001EE" w:rsidP="00067B36">
      <w:pPr>
        <w:pStyle w:val="Paragrafoelenco"/>
        <w:numPr>
          <w:ilvl w:val="1"/>
          <w:numId w:val="29"/>
        </w:numPr>
        <w:spacing w:before="120" w:after="120" w:line="276" w:lineRule="auto"/>
        <w:jc w:val="both"/>
        <w:rPr>
          <w:rFonts w:ascii="Calibri" w:hAnsi="Calibri" w:cs="Arial"/>
          <w:sz w:val="20"/>
          <w:szCs w:val="20"/>
        </w:rPr>
      </w:pPr>
      <w:r w:rsidRPr="00B001EE">
        <w:rPr>
          <w:rFonts w:ascii="Calibri" w:hAnsi="Calibri" w:cs="Arial"/>
          <w:sz w:val="20"/>
          <w:szCs w:val="20"/>
        </w:rPr>
        <w:t>Relativi al Centro di Competenza Specialistica Oracle</w:t>
      </w:r>
      <w:r w:rsidR="00B97233">
        <w:rPr>
          <w:rFonts w:ascii="Calibri" w:hAnsi="Calibri" w:cs="Arial"/>
          <w:sz w:val="20"/>
          <w:szCs w:val="20"/>
        </w:rPr>
        <w:t xml:space="preserve"> (erogabili a consumo)</w:t>
      </w:r>
      <w:r w:rsidRPr="00B001EE">
        <w:rPr>
          <w:rFonts w:ascii="Calibri" w:hAnsi="Calibri" w:cs="Arial"/>
          <w:sz w:val="20"/>
          <w:szCs w:val="20"/>
        </w:rPr>
        <w:t>:</w:t>
      </w:r>
    </w:p>
    <w:p w14:paraId="2924201F" w14:textId="384EAAAD" w:rsidR="00101F06" w:rsidRDefault="00287AFA" w:rsidP="00101F06">
      <w:pPr>
        <w:spacing w:before="120" w:after="120" w:line="276" w:lineRule="auto"/>
        <w:jc w:val="center"/>
        <w:rPr>
          <w:rFonts w:ascii="Calibri" w:hAnsi="Calibri" w:cs="Arial"/>
          <w:sz w:val="20"/>
          <w:szCs w:val="20"/>
        </w:rPr>
      </w:pPr>
      <w:r w:rsidRPr="00287AFA">
        <w:rPr>
          <w:noProof/>
        </w:rPr>
        <w:drawing>
          <wp:inline distT="0" distB="0" distL="0" distR="0" wp14:anchorId="58A0D303" wp14:editId="77099111">
            <wp:extent cx="4032250" cy="61467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5727" cy="619775"/>
                    </a:xfrm>
                    <a:prstGeom prst="rect">
                      <a:avLst/>
                    </a:prstGeom>
                    <a:noFill/>
                    <a:ln>
                      <a:noFill/>
                    </a:ln>
                  </pic:spPr>
                </pic:pic>
              </a:graphicData>
            </a:graphic>
          </wp:inline>
        </w:drawing>
      </w:r>
    </w:p>
    <w:p w14:paraId="5C906E42" w14:textId="659015EB" w:rsidR="00B001EE" w:rsidRDefault="00B001EE" w:rsidP="00B001EE">
      <w:pPr>
        <w:pStyle w:val="Paragrafoelenco"/>
        <w:numPr>
          <w:ilvl w:val="1"/>
          <w:numId w:val="29"/>
        </w:numPr>
        <w:spacing w:before="120" w:after="120" w:line="276" w:lineRule="auto"/>
        <w:jc w:val="both"/>
        <w:rPr>
          <w:rFonts w:ascii="Calibri" w:hAnsi="Calibri" w:cs="Arial"/>
          <w:sz w:val="20"/>
          <w:szCs w:val="20"/>
        </w:rPr>
      </w:pPr>
      <w:r w:rsidRPr="00B001EE">
        <w:rPr>
          <w:rFonts w:ascii="Calibri" w:hAnsi="Calibri" w:cs="Arial"/>
          <w:sz w:val="20"/>
          <w:szCs w:val="20"/>
        </w:rPr>
        <w:t xml:space="preserve">Relativi </w:t>
      </w:r>
      <w:r>
        <w:rPr>
          <w:rFonts w:ascii="Calibri" w:hAnsi="Calibri" w:cs="Arial"/>
          <w:sz w:val="20"/>
          <w:szCs w:val="20"/>
        </w:rPr>
        <w:t>al Presidio fisso</w:t>
      </w:r>
      <w:r w:rsidR="00B97233">
        <w:rPr>
          <w:rFonts w:ascii="Calibri" w:hAnsi="Calibri" w:cs="Arial"/>
          <w:sz w:val="20"/>
          <w:szCs w:val="20"/>
        </w:rPr>
        <w:t>, per 36 mesi</w:t>
      </w:r>
      <w:r>
        <w:rPr>
          <w:rFonts w:ascii="Calibri" w:hAnsi="Calibri" w:cs="Arial"/>
          <w:sz w:val="20"/>
          <w:szCs w:val="20"/>
        </w:rPr>
        <w:t>:</w:t>
      </w:r>
    </w:p>
    <w:p w14:paraId="63A5BE0C" w14:textId="7D264E97" w:rsidR="00101F06" w:rsidRDefault="00287AFA" w:rsidP="00101F06">
      <w:pPr>
        <w:spacing w:before="120" w:after="120" w:line="276" w:lineRule="auto"/>
        <w:jc w:val="center"/>
        <w:rPr>
          <w:rFonts w:ascii="Calibri" w:hAnsi="Calibri" w:cs="Arial"/>
          <w:sz w:val="20"/>
          <w:szCs w:val="20"/>
        </w:rPr>
      </w:pPr>
      <w:r w:rsidRPr="00287AFA">
        <w:rPr>
          <w:noProof/>
        </w:rPr>
        <w:drawing>
          <wp:inline distT="0" distB="0" distL="0" distR="0" wp14:anchorId="4D469C38" wp14:editId="00EB2D1D">
            <wp:extent cx="4040378" cy="61591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42" cy="621454"/>
                    </a:xfrm>
                    <a:prstGeom prst="rect">
                      <a:avLst/>
                    </a:prstGeom>
                    <a:noFill/>
                    <a:ln>
                      <a:noFill/>
                    </a:ln>
                  </pic:spPr>
                </pic:pic>
              </a:graphicData>
            </a:graphic>
          </wp:inline>
        </w:drawing>
      </w:r>
    </w:p>
    <w:p w14:paraId="782CD9BA" w14:textId="77777777" w:rsidR="00B001EE" w:rsidRDefault="00B001EE" w:rsidP="00BD3DAD">
      <w:pPr>
        <w:spacing w:before="120" w:after="120" w:line="276" w:lineRule="auto"/>
        <w:jc w:val="both"/>
        <w:rPr>
          <w:rFonts w:ascii="Calibri" w:hAnsi="Calibri" w:cs="Arial"/>
          <w:sz w:val="20"/>
          <w:szCs w:val="20"/>
        </w:rPr>
      </w:pPr>
    </w:p>
    <w:p w14:paraId="6AC25E4D" w14:textId="0606666E" w:rsidR="007B5F2D" w:rsidRPr="007B5F2D" w:rsidRDefault="0023277F" w:rsidP="007B5F2D">
      <w:pPr>
        <w:pStyle w:val="Paragrafoelenco"/>
        <w:numPr>
          <w:ilvl w:val="0"/>
          <w:numId w:val="29"/>
        </w:numPr>
        <w:spacing w:before="120" w:after="120" w:line="276" w:lineRule="auto"/>
        <w:jc w:val="both"/>
        <w:rPr>
          <w:rFonts w:ascii="Calibri" w:hAnsi="Calibri" w:cs="Arial"/>
          <w:b/>
          <w:sz w:val="20"/>
          <w:szCs w:val="20"/>
        </w:rPr>
      </w:pPr>
      <w:r>
        <w:rPr>
          <w:rFonts w:ascii="Calibri" w:hAnsi="Calibri" w:cs="Arial"/>
          <w:b/>
          <w:sz w:val="20"/>
          <w:szCs w:val="20"/>
        </w:rPr>
        <w:t xml:space="preserve">SERVIZI PAAS/IAAS IN MODALITA’ </w:t>
      </w:r>
      <w:r w:rsidR="004E18C2">
        <w:rPr>
          <w:rFonts w:ascii="Calibri" w:hAnsi="Calibri" w:cs="Arial"/>
          <w:b/>
          <w:sz w:val="20"/>
          <w:szCs w:val="20"/>
        </w:rPr>
        <w:t>CLOUD@</w:t>
      </w:r>
      <w:r w:rsidR="007B5F2D" w:rsidRPr="007B5F2D">
        <w:rPr>
          <w:rFonts w:ascii="Calibri" w:hAnsi="Calibri" w:cs="Arial"/>
          <w:b/>
          <w:sz w:val="20"/>
          <w:szCs w:val="20"/>
        </w:rPr>
        <w:t>CUSTOMER:</w:t>
      </w:r>
    </w:p>
    <w:p w14:paraId="7FE24B9F" w14:textId="73312818" w:rsidR="0023277F" w:rsidRDefault="00CF5B3C" w:rsidP="0036261E">
      <w:pPr>
        <w:spacing w:line="360" w:lineRule="auto"/>
        <w:jc w:val="both"/>
        <w:rPr>
          <w:rFonts w:ascii="Calibri" w:hAnsi="Calibri" w:cs="Arial"/>
          <w:sz w:val="20"/>
          <w:szCs w:val="20"/>
        </w:rPr>
      </w:pPr>
      <w:r w:rsidRPr="0023277F">
        <w:rPr>
          <w:rFonts w:ascii="Calibri" w:hAnsi="Calibri" w:cs="Arial"/>
          <w:sz w:val="20"/>
          <w:szCs w:val="20"/>
        </w:rPr>
        <w:t>L’Istituto ha iniziato una migrazione di tutti i suoi Dat</w:t>
      </w:r>
      <w:r w:rsidR="0023277F">
        <w:rPr>
          <w:rFonts w:ascii="Calibri" w:hAnsi="Calibri" w:cs="Arial"/>
          <w:sz w:val="20"/>
          <w:szCs w:val="20"/>
        </w:rPr>
        <w:t xml:space="preserve">abase Oracle sulla piattaforma </w:t>
      </w:r>
      <w:r w:rsidRPr="0023277F">
        <w:rPr>
          <w:rFonts w:ascii="Calibri" w:hAnsi="Calibri" w:cs="Arial"/>
          <w:sz w:val="20"/>
          <w:szCs w:val="20"/>
        </w:rPr>
        <w:t>“</w:t>
      </w:r>
      <w:proofErr w:type="spellStart"/>
      <w:r w:rsidRPr="0023277F">
        <w:rPr>
          <w:rFonts w:ascii="Calibri" w:hAnsi="Calibri" w:cs="Arial"/>
          <w:sz w:val="20"/>
          <w:szCs w:val="20"/>
        </w:rPr>
        <w:t>cloud@customer</w:t>
      </w:r>
      <w:proofErr w:type="spellEnd"/>
      <w:r w:rsidR="00356916" w:rsidRPr="0023277F">
        <w:rPr>
          <w:rFonts w:ascii="Calibri" w:hAnsi="Calibri" w:cs="Arial"/>
          <w:sz w:val="20"/>
          <w:szCs w:val="20"/>
        </w:rPr>
        <w:t>”</w:t>
      </w:r>
      <w:r w:rsidRPr="0023277F">
        <w:rPr>
          <w:rFonts w:ascii="Calibri" w:hAnsi="Calibri" w:cs="Arial"/>
          <w:sz w:val="20"/>
          <w:szCs w:val="20"/>
        </w:rPr>
        <w:t>. A tal fin</w:t>
      </w:r>
      <w:r w:rsidR="00356916" w:rsidRPr="0023277F">
        <w:rPr>
          <w:rFonts w:ascii="Calibri" w:hAnsi="Calibri" w:cs="Arial"/>
          <w:sz w:val="20"/>
          <w:szCs w:val="20"/>
        </w:rPr>
        <w:t xml:space="preserve">e, sono richiesti un certo numero di </w:t>
      </w:r>
      <w:r w:rsidR="00FB7D45" w:rsidRPr="0023277F">
        <w:rPr>
          <w:rFonts w:ascii="Calibri" w:hAnsi="Calibri" w:cs="Arial"/>
          <w:sz w:val="20"/>
          <w:szCs w:val="20"/>
        </w:rPr>
        <w:t>Universal Credit</w:t>
      </w:r>
      <w:r w:rsidR="00287AFA">
        <w:rPr>
          <w:rFonts w:ascii="Calibri" w:hAnsi="Calibri" w:cs="Arial"/>
          <w:sz w:val="20"/>
          <w:szCs w:val="20"/>
        </w:rPr>
        <w:t>,</w:t>
      </w:r>
      <w:r w:rsidR="00FB7D45" w:rsidRPr="0023277F">
        <w:rPr>
          <w:rFonts w:ascii="Calibri" w:hAnsi="Calibri" w:cs="Arial"/>
          <w:sz w:val="20"/>
          <w:szCs w:val="20"/>
        </w:rPr>
        <w:t xml:space="preserve"> da utilizzare</w:t>
      </w:r>
      <w:r w:rsidR="00356916" w:rsidRPr="0023277F">
        <w:rPr>
          <w:rFonts w:ascii="Calibri" w:hAnsi="Calibri" w:cs="Arial"/>
          <w:sz w:val="20"/>
          <w:szCs w:val="20"/>
        </w:rPr>
        <w:t>,</w:t>
      </w:r>
      <w:r w:rsidR="00FB7D45" w:rsidRPr="0023277F">
        <w:rPr>
          <w:rFonts w:ascii="Calibri" w:hAnsi="Calibri" w:cs="Arial"/>
          <w:sz w:val="20"/>
          <w:szCs w:val="20"/>
        </w:rPr>
        <w:t xml:space="preserve"> su prodotti e servizi per </w:t>
      </w:r>
      <w:proofErr w:type="spellStart"/>
      <w:r w:rsidR="00FB7D45" w:rsidRPr="0023277F">
        <w:rPr>
          <w:rFonts w:ascii="Calibri" w:hAnsi="Calibri" w:cs="Arial"/>
          <w:sz w:val="20"/>
          <w:szCs w:val="20"/>
        </w:rPr>
        <w:t>cloud</w:t>
      </w:r>
      <w:proofErr w:type="spellEnd"/>
      <w:r w:rsidR="00FB7D45" w:rsidRPr="0023277F">
        <w:rPr>
          <w:rFonts w:ascii="Calibri" w:hAnsi="Calibri" w:cs="Arial"/>
          <w:sz w:val="20"/>
          <w:szCs w:val="20"/>
        </w:rPr>
        <w:t xml:space="preserve"> privato, </w:t>
      </w:r>
      <w:r w:rsidR="00356916" w:rsidRPr="0023277F">
        <w:rPr>
          <w:rFonts w:ascii="Calibri" w:hAnsi="Calibri" w:cs="Arial"/>
          <w:sz w:val="20"/>
          <w:szCs w:val="20"/>
        </w:rPr>
        <w:t xml:space="preserve">durante </w:t>
      </w:r>
      <w:r w:rsidR="0036261E">
        <w:rPr>
          <w:rFonts w:ascii="Calibri" w:hAnsi="Calibri" w:cs="Arial"/>
          <w:sz w:val="20"/>
          <w:szCs w:val="20"/>
        </w:rPr>
        <w:t>l’intera durata contrattuale:</w:t>
      </w:r>
    </w:p>
    <w:p w14:paraId="58CBCDA9" w14:textId="30FB9B53" w:rsidR="00287AFA" w:rsidRDefault="00287AFA" w:rsidP="00CF5B3C">
      <w:pPr>
        <w:jc w:val="both"/>
        <w:rPr>
          <w:rFonts w:ascii="Calibri" w:hAnsi="Calibri" w:cs="Arial"/>
          <w:sz w:val="20"/>
          <w:szCs w:val="20"/>
        </w:rPr>
      </w:pPr>
    </w:p>
    <w:p w14:paraId="3F829F49" w14:textId="1D945419" w:rsidR="00290988" w:rsidRDefault="00290988" w:rsidP="00CF5B3C">
      <w:pPr>
        <w:jc w:val="both"/>
        <w:rPr>
          <w:rFonts w:ascii="Calibri" w:hAnsi="Calibri" w:cs="Arial"/>
          <w:sz w:val="20"/>
          <w:szCs w:val="20"/>
        </w:rPr>
      </w:pPr>
      <w:r w:rsidRPr="00290988">
        <w:rPr>
          <w:noProof/>
        </w:rPr>
        <w:drawing>
          <wp:inline distT="0" distB="0" distL="0" distR="0" wp14:anchorId="46DB8F5E" wp14:editId="481924E4">
            <wp:extent cx="5400040" cy="319139"/>
            <wp:effectExtent l="0" t="0" r="0"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19139"/>
                    </a:xfrm>
                    <a:prstGeom prst="rect">
                      <a:avLst/>
                    </a:prstGeom>
                    <a:noFill/>
                    <a:ln>
                      <a:noFill/>
                    </a:ln>
                  </pic:spPr>
                </pic:pic>
              </a:graphicData>
            </a:graphic>
          </wp:inline>
        </w:drawing>
      </w:r>
    </w:p>
    <w:p w14:paraId="081954BC" w14:textId="77777777" w:rsidR="00290988" w:rsidRDefault="00290988" w:rsidP="00287AFA">
      <w:pPr>
        <w:jc w:val="both"/>
        <w:rPr>
          <w:rFonts w:ascii="Calibri" w:hAnsi="Calibri" w:cs="Arial"/>
          <w:sz w:val="20"/>
          <w:szCs w:val="20"/>
        </w:rPr>
      </w:pPr>
    </w:p>
    <w:p w14:paraId="0F1E432D" w14:textId="00071C0F" w:rsidR="00287AFA" w:rsidRDefault="0074312D" w:rsidP="0036261E">
      <w:pPr>
        <w:spacing w:line="360" w:lineRule="auto"/>
        <w:jc w:val="both"/>
        <w:rPr>
          <w:rFonts w:ascii="Calibri" w:hAnsi="Calibri" w:cs="Arial"/>
          <w:sz w:val="20"/>
          <w:szCs w:val="20"/>
        </w:rPr>
      </w:pPr>
      <w:proofErr w:type="gramStart"/>
      <w:r>
        <w:rPr>
          <w:rFonts w:ascii="Calibri" w:hAnsi="Calibri" w:cs="Arial"/>
          <w:sz w:val="20"/>
          <w:szCs w:val="20"/>
        </w:rPr>
        <w:t>E’</w:t>
      </w:r>
      <w:proofErr w:type="gramEnd"/>
      <w:r w:rsidR="00287AFA">
        <w:rPr>
          <w:rFonts w:ascii="Calibri" w:hAnsi="Calibri" w:cs="Arial"/>
          <w:sz w:val="20"/>
          <w:szCs w:val="20"/>
        </w:rPr>
        <w:t xml:space="preserve"> </w:t>
      </w:r>
      <w:r w:rsidR="0036261E">
        <w:rPr>
          <w:rFonts w:ascii="Calibri" w:hAnsi="Calibri" w:cs="Arial"/>
          <w:sz w:val="20"/>
          <w:szCs w:val="20"/>
        </w:rPr>
        <w:t xml:space="preserve">inoltre richiesto il rinnovo dell’attuale sottoscrizione </w:t>
      </w:r>
      <w:r w:rsidR="00287AFA" w:rsidRPr="0023277F">
        <w:rPr>
          <w:rFonts w:ascii="Calibri" w:hAnsi="Calibri" w:cs="Arial"/>
          <w:sz w:val="20"/>
          <w:szCs w:val="20"/>
        </w:rPr>
        <w:t>hardware</w:t>
      </w:r>
      <w:r w:rsidR="0036261E">
        <w:rPr>
          <w:rFonts w:ascii="Calibri" w:hAnsi="Calibri" w:cs="Arial"/>
          <w:sz w:val="20"/>
          <w:szCs w:val="20"/>
        </w:rPr>
        <w:t xml:space="preserve"> (</w:t>
      </w:r>
      <w:proofErr w:type="spellStart"/>
      <w:r w:rsidR="0036261E">
        <w:rPr>
          <w:rFonts w:ascii="Calibri" w:hAnsi="Calibri" w:cs="Arial"/>
          <w:sz w:val="20"/>
          <w:szCs w:val="20"/>
        </w:rPr>
        <w:t>half</w:t>
      </w:r>
      <w:proofErr w:type="spellEnd"/>
      <w:r w:rsidR="0036261E">
        <w:rPr>
          <w:rFonts w:ascii="Calibri" w:hAnsi="Calibri" w:cs="Arial"/>
          <w:sz w:val="20"/>
          <w:szCs w:val="20"/>
        </w:rPr>
        <w:t xml:space="preserve"> </w:t>
      </w:r>
      <w:proofErr w:type="spellStart"/>
      <w:r w:rsidR="0036261E">
        <w:rPr>
          <w:rFonts w:ascii="Calibri" w:hAnsi="Calibri" w:cs="Arial"/>
          <w:sz w:val="20"/>
          <w:szCs w:val="20"/>
        </w:rPr>
        <w:t>rack</w:t>
      </w:r>
      <w:proofErr w:type="spellEnd"/>
      <w:r w:rsidR="0036261E">
        <w:rPr>
          <w:rFonts w:ascii="Calibri" w:hAnsi="Calibri" w:cs="Arial"/>
          <w:sz w:val="20"/>
          <w:szCs w:val="20"/>
        </w:rPr>
        <w:t xml:space="preserve">) ed una nuova sottoscrizione di un 2nd </w:t>
      </w:r>
      <w:proofErr w:type="spellStart"/>
      <w:r w:rsidR="0036261E">
        <w:rPr>
          <w:rFonts w:ascii="Calibri" w:hAnsi="Calibri" w:cs="Arial"/>
          <w:sz w:val="20"/>
          <w:szCs w:val="20"/>
        </w:rPr>
        <w:t>half</w:t>
      </w:r>
      <w:proofErr w:type="spellEnd"/>
      <w:r w:rsidR="00287AFA">
        <w:rPr>
          <w:rFonts w:ascii="Calibri" w:hAnsi="Calibri" w:cs="Arial"/>
          <w:sz w:val="20"/>
          <w:szCs w:val="20"/>
        </w:rPr>
        <w:t>, le cui specifiche tecniche sono di seguito indicate:</w:t>
      </w:r>
    </w:p>
    <w:p w14:paraId="5C6DA7B7" w14:textId="05652F0E" w:rsidR="00287AFA" w:rsidRDefault="00287AFA" w:rsidP="00CF5B3C">
      <w:pPr>
        <w:jc w:val="both"/>
        <w:rPr>
          <w:rFonts w:ascii="Calibri" w:hAnsi="Calibri" w:cs="Arial"/>
          <w:sz w:val="20"/>
          <w:szCs w:val="20"/>
        </w:rPr>
      </w:pPr>
    </w:p>
    <w:p w14:paraId="15CAE33C" w14:textId="2B43D091" w:rsidR="00287AFA" w:rsidRDefault="00287AFA" w:rsidP="00CF5B3C">
      <w:pPr>
        <w:jc w:val="both"/>
        <w:rPr>
          <w:rFonts w:ascii="Calibri" w:hAnsi="Calibri" w:cs="Arial"/>
          <w:sz w:val="20"/>
          <w:szCs w:val="20"/>
        </w:rPr>
      </w:pPr>
      <w:r w:rsidRPr="00287AFA">
        <w:rPr>
          <w:noProof/>
        </w:rPr>
        <w:drawing>
          <wp:inline distT="0" distB="0" distL="0" distR="0" wp14:anchorId="4E5B9629" wp14:editId="29ECF262">
            <wp:extent cx="5400040" cy="2998897"/>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998897"/>
                    </a:xfrm>
                    <a:prstGeom prst="rect">
                      <a:avLst/>
                    </a:prstGeom>
                    <a:noFill/>
                    <a:ln>
                      <a:noFill/>
                    </a:ln>
                  </pic:spPr>
                </pic:pic>
              </a:graphicData>
            </a:graphic>
          </wp:inline>
        </w:drawing>
      </w:r>
    </w:p>
    <w:p w14:paraId="22810F70" w14:textId="77777777" w:rsidR="00287AFA" w:rsidRDefault="00287AFA" w:rsidP="00CF5B3C">
      <w:pPr>
        <w:jc w:val="both"/>
        <w:rPr>
          <w:rFonts w:ascii="Calibri" w:hAnsi="Calibri" w:cs="Arial"/>
          <w:sz w:val="20"/>
          <w:szCs w:val="20"/>
        </w:rPr>
      </w:pPr>
    </w:p>
    <w:p w14:paraId="6B372D9D" w14:textId="77777777" w:rsidR="00BB3432" w:rsidRDefault="00BB3432" w:rsidP="0036261E">
      <w:pPr>
        <w:spacing w:line="360" w:lineRule="auto"/>
        <w:jc w:val="both"/>
        <w:rPr>
          <w:rFonts w:ascii="Calibri" w:hAnsi="Calibri" w:cs="Arial"/>
          <w:sz w:val="20"/>
          <w:szCs w:val="20"/>
        </w:rPr>
      </w:pPr>
    </w:p>
    <w:p w14:paraId="62A4235C" w14:textId="642143E9" w:rsidR="00356916" w:rsidRPr="00D0025C" w:rsidRDefault="00356916" w:rsidP="0036261E">
      <w:pPr>
        <w:spacing w:line="360" w:lineRule="auto"/>
        <w:jc w:val="both"/>
        <w:rPr>
          <w:rFonts w:ascii="Calibri" w:hAnsi="Calibri" w:cs="Arial"/>
          <w:sz w:val="20"/>
          <w:szCs w:val="20"/>
        </w:rPr>
      </w:pPr>
      <w:r w:rsidRPr="00D0025C">
        <w:rPr>
          <w:rFonts w:ascii="Calibri" w:hAnsi="Calibri" w:cs="Arial"/>
          <w:sz w:val="20"/>
          <w:szCs w:val="20"/>
        </w:rPr>
        <w:t>Si precisa che:</w:t>
      </w:r>
    </w:p>
    <w:p w14:paraId="26B16AC9" w14:textId="4BFA4FBC" w:rsidR="00356916" w:rsidRPr="00D0025C" w:rsidRDefault="00356916" w:rsidP="0036261E">
      <w:pPr>
        <w:spacing w:line="360" w:lineRule="auto"/>
        <w:jc w:val="both"/>
        <w:rPr>
          <w:rFonts w:ascii="Calibri" w:hAnsi="Calibri" w:cs="Arial"/>
          <w:sz w:val="20"/>
          <w:szCs w:val="20"/>
        </w:rPr>
      </w:pPr>
      <w:r w:rsidRPr="00D0025C">
        <w:rPr>
          <w:rFonts w:ascii="Calibri" w:hAnsi="Calibri" w:cs="Arial"/>
          <w:sz w:val="20"/>
          <w:szCs w:val="20"/>
        </w:rPr>
        <w:lastRenderedPageBreak/>
        <w:t xml:space="preserve">- saranno utilizzate </w:t>
      </w:r>
      <w:r w:rsidR="00FB135A" w:rsidRPr="00D0025C">
        <w:rPr>
          <w:rFonts w:ascii="Calibri" w:hAnsi="Calibri" w:cs="Arial"/>
          <w:sz w:val="20"/>
          <w:szCs w:val="20"/>
        </w:rPr>
        <w:t>attività specialistiche del Centro di Competenza per garantire il supporto alle scelte strategiche inerenti il disegno e la revisione delle architetture, la conduzione di una</w:t>
      </w:r>
      <w:r w:rsidR="00C67C2E">
        <w:rPr>
          <w:rFonts w:ascii="Calibri" w:hAnsi="Calibri" w:cs="Arial"/>
          <w:sz w:val="20"/>
          <w:szCs w:val="20"/>
        </w:rPr>
        <w:t xml:space="preserve"> </w:t>
      </w:r>
      <w:r w:rsidR="00BB3432">
        <w:rPr>
          <w:rFonts w:ascii="Calibri" w:hAnsi="Calibri" w:cs="Arial"/>
          <w:sz w:val="20"/>
          <w:szCs w:val="20"/>
        </w:rPr>
        <w:t>“</w:t>
      </w:r>
      <w:r w:rsidR="00FB135A" w:rsidRPr="00C67C2E">
        <w:rPr>
          <w:rFonts w:ascii="Calibri" w:hAnsi="Calibri" w:cs="Arial"/>
          <w:b/>
          <w:sz w:val="20"/>
          <w:szCs w:val="20"/>
        </w:rPr>
        <w:t xml:space="preserve">gap </w:t>
      </w:r>
      <w:proofErr w:type="spellStart"/>
      <w:r w:rsidR="00FB135A" w:rsidRPr="00C67C2E">
        <w:rPr>
          <w:rFonts w:ascii="Calibri" w:hAnsi="Calibri" w:cs="Arial"/>
          <w:b/>
          <w:sz w:val="20"/>
          <w:szCs w:val="20"/>
        </w:rPr>
        <w:t>analysis</w:t>
      </w:r>
      <w:proofErr w:type="spellEnd"/>
      <w:r w:rsidR="0074312D">
        <w:rPr>
          <w:rFonts w:ascii="Calibri" w:hAnsi="Calibri" w:cs="Arial"/>
          <w:b/>
          <w:sz w:val="20"/>
          <w:szCs w:val="20"/>
        </w:rPr>
        <w:t>”</w:t>
      </w:r>
      <w:r w:rsidR="00BB3432">
        <w:rPr>
          <w:rFonts w:ascii="Calibri" w:hAnsi="Calibri" w:cs="Arial"/>
          <w:sz w:val="20"/>
          <w:szCs w:val="20"/>
        </w:rPr>
        <w:t xml:space="preserve">, </w:t>
      </w:r>
      <w:r w:rsidR="00FB135A" w:rsidRPr="00D0025C">
        <w:rPr>
          <w:rFonts w:ascii="Calibri" w:hAnsi="Calibri" w:cs="Arial"/>
          <w:sz w:val="20"/>
          <w:szCs w:val="20"/>
        </w:rPr>
        <w:t xml:space="preserve">la progettazione, l'implementazione e il </w:t>
      </w:r>
      <w:proofErr w:type="spellStart"/>
      <w:r w:rsidR="00FB135A" w:rsidRPr="00D0025C">
        <w:rPr>
          <w:rFonts w:ascii="Calibri" w:hAnsi="Calibri" w:cs="Arial"/>
          <w:sz w:val="20"/>
          <w:szCs w:val="20"/>
        </w:rPr>
        <w:t>tuning</w:t>
      </w:r>
      <w:proofErr w:type="spellEnd"/>
      <w:r w:rsidR="00FB135A" w:rsidRPr="00D0025C">
        <w:rPr>
          <w:rFonts w:ascii="Calibri" w:hAnsi="Calibri" w:cs="Arial"/>
          <w:sz w:val="20"/>
          <w:szCs w:val="20"/>
        </w:rPr>
        <w:t xml:space="preserve"> delle funzionalità e delle performance nella piattaforma Cloud rispetto a quelle garantite su contesto on-premise</w:t>
      </w:r>
      <w:r w:rsidRPr="00D0025C">
        <w:rPr>
          <w:rFonts w:ascii="Calibri" w:hAnsi="Calibri" w:cs="Arial"/>
          <w:sz w:val="20"/>
          <w:szCs w:val="20"/>
        </w:rPr>
        <w:t xml:space="preserve">, </w:t>
      </w:r>
      <w:r w:rsidR="00FB135A" w:rsidRPr="00D0025C">
        <w:rPr>
          <w:rFonts w:ascii="Calibri" w:hAnsi="Calibri" w:cs="Arial"/>
          <w:sz w:val="20"/>
          <w:szCs w:val="20"/>
        </w:rPr>
        <w:t>al fine di valutare l'adozione delle nuove tecnologie</w:t>
      </w:r>
      <w:r w:rsidR="004E18C2" w:rsidRPr="00D0025C">
        <w:rPr>
          <w:rFonts w:ascii="Calibri" w:hAnsi="Calibri" w:cs="Arial"/>
          <w:sz w:val="20"/>
          <w:szCs w:val="20"/>
        </w:rPr>
        <w:t xml:space="preserve"> </w:t>
      </w:r>
      <w:r w:rsidRPr="00D0025C">
        <w:rPr>
          <w:rFonts w:ascii="Calibri" w:hAnsi="Calibri" w:cs="Arial"/>
          <w:sz w:val="20"/>
          <w:szCs w:val="20"/>
        </w:rPr>
        <w:t xml:space="preserve">e minimizzare il rischio di </w:t>
      </w:r>
      <w:proofErr w:type="spellStart"/>
      <w:r w:rsidRPr="00D0025C">
        <w:rPr>
          <w:rFonts w:ascii="Calibri" w:hAnsi="Calibri" w:cs="Arial"/>
          <w:sz w:val="20"/>
          <w:szCs w:val="20"/>
        </w:rPr>
        <w:t>lo</w:t>
      </w:r>
      <w:r w:rsidR="00D0025C">
        <w:rPr>
          <w:rFonts w:ascii="Calibri" w:hAnsi="Calibri" w:cs="Arial"/>
          <w:sz w:val="20"/>
          <w:szCs w:val="20"/>
        </w:rPr>
        <w:t>c</w:t>
      </w:r>
      <w:r w:rsidRPr="00D0025C">
        <w:rPr>
          <w:rFonts w:ascii="Calibri" w:hAnsi="Calibri" w:cs="Arial"/>
          <w:sz w:val="20"/>
          <w:szCs w:val="20"/>
        </w:rPr>
        <w:t>k</w:t>
      </w:r>
      <w:proofErr w:type="spellEnd"/>
      <w:r w:rsidRPr="00D0025C">
        <w:rPr>
          <w:rFonts w:ascii="Calibri" w:hAnsi="Calibri" w:cs="Arial"/>
          <w:sz w:val="20"/>
          <w:szCs w:val="20"/>
        </w:rPr>
        <w:t>-in</w:t>
      </w:r>
      <w:r w:rsidR="007649FE">
        <w:rPr>
          <w:rFonts w:ascii="Calibri" w:hAnsi="Calibri" w:cs="Arial"/>
          <w:sz w:val="20"/>
          <w:szCs w:val="20"/>
        </w:rPr>
        <w:t>;</w:t>
      </w:r>
    </w:p>
    <w:p w14:paraId="516B50EA" w14:textId="77504782" w:rsidR="004E18C2" w:rsidRDefault="00356916" w:rsidP="0036261E">
      <w:pPr>
        <w:spacing w:line="360" w:lineRule="auto"/>
        <w:jc w:val="both"/>
        <w:rPr>
          <w:rFonts w:ascii="Calibri" w:hAnsi="Calibri" w:cs="Arial"/>
          <w:sz w:val="20"/>
          <w:szCs w:val="20"/>
        </w:rPr>
      </w:pPr>
      <w:r w:rsidRPr="00D0025C">
        <w:rPr>
          <w:rFonts w:ascii="Calibri" w:hAnsi="Calibri" w:cs="Arial"/>
          <w:sz w:val="20"/>
          <w:szCs w:val="20"/>
        </w:rPr>
        <w:t xml:space="preserve">- </w:t>
      </w:r>
      <w:r w:rsidR="007649FE" w:rsidRPr="007649FE">
        <w:rPr>
          <w:rFonts w:ascii="Calibri" w:hAnsi="Calibri" w:cs="Arial"/>
          <w:sz w:val="20"/>
          <w:szCs w:val="20"/>
        </w:rPr>
        <w:t xml:space="preserve">il servizio EXACC, ovvero il servizio Database in modalità </w:t>
      </w:r>
      <w:proofErr w:type="spellStart"/>
      <w:r w:rsidR="007649FE" w:rsidRPr="007649FE">
        <w:rPr>
          <w:rFonts w:ascii="Calibri" w:hAnsi="Calibri" w:cs="Arial"/>
          <w:sz w:val="20"/>
          <w:szCs w:val="20"/>
        </w:rPr>
        <w:t>cloud</w:t>
      </w:r>
      <w:proofErr w:type="spellEnd"/>
      <w:r w:rsidR="007649FE" w:rsidRPr="007649FE">
        <w:rPr>
          <w:rFonts w:ascii="Calibri" w:hAnsi="Calibri" w:cs="Arial"/>
          <w:sz w:val="20"/>
          <w:szCs w:val="20"/>
        </w:rPr>
        <w:t>, attraverso il quale gestire tutti i Database Oracle dell’Istituto</w:t>
      </w:r>
      <w:r w:rsidR="007649FE">
        <w:rPr>
          <w:rFonts w:ascii="Calibri" w:hAnsi="Calibri" w:cs="Arial"/>
          <w:sz w:val="20"/>
          <w:szCs w:val="20"/>
        </w:rPr>
        <w:t xml:space="preserve"> dovrà</w:t>
      </w:r>
      <w:r w:rsidR="007649FE" w:rsidRPr="007649FE">
        <w:rPr>
          <w:rFonts w:ascii="Calibri" w:hAnsi="Calibri" w:cs="Arial"/>
          <w:sz w:val="20"/>
          <w:szCs w:val="20"/>
        </w:rPr>
        <w:t xml:space="preserve"> necessariamente garantire una flessibilità per accompagnare la crescita del volume dei dati gestiti dalle applicazioni, primo fra tutti il sistema documentale dell’Istituto.</w:t>
      </w:r>
      <w:r w:rsidR="007649FE">
        <w:rPr>
          <w:rFonts w:ascii="Calibri" w:hAnsi="Calibri" w:cs="Arial"/>
          <w:sz w:val="20"/>
          <w:szCs w:val="20"/>
        </w:rPr>
        <w:t xml:space="preserve"> L</w:t>
      </w:r>
      <w:r w:rsidR="007649FE" w:rsidRPr="00D0025C">
        <w:rPr>
          <w:rFonts w:ascii="Calibri" w:hAnsi="Calibri" w:cs="Arial"/>
          <w:sz w:val="20"/>
          <w:szCs w:val="20"/>
        </w:rPr>
        <w:t xml:space="preserve">’impostazione </w:t>
      </w:r>
      <w:r w:rsidR="004E18C2" w:rsidRPr="00D0025C">
        <w:rPr>
          <w:rFonts w:ascii="Calibri" w:hAnsi="Calibri" w:cs="Arial"/>
          <w:sz w:val="20"/>
          <w:szCs w:val="20"/>
        </w:rPr>
        <w:t>di database a servizio dell’EXACC</w:t>
      </w:r>
      <w:r w:rsidR="00D0025C">
        <w:rPr>
          <w:rFonts w:ascii="Calibri" w:hAnsi="Calibri" w:cs="Arial"/>
          <w:sz w:val="20"/>
          <w:szCs w:val="20"/>
        </w:rPr>
        <w:t xml:space="preserve"> (</w:t>
      </w:r>
      <w:proofErr w:type="spellStart"/>
      <w:r w:rsidR="00D0025C">
        <w:rPr>
          <w:rFonts w:ascii="Calibri" w:hAnsi="Calibri" w:cs="Arial"/>
          <w:sz w:val="20"/>
          <w:szCs w:val="20"/>
        </w:rPr>
        <w:t>Exadata</w:t>
      </w:r>
      <w:proofErr w:type="spellEnd"/>
      <w:r w:rsidR="00D0025C">
        <w:rPr>
          <w:rFonts w:ascii="Calibri" w:hAnsi="Calibri" w:cs="Arial"/>
          <w:sz w:val="20"/>
          <w:szCs w:val="20"/>
        </w:rPr>
        <w:t xml:space="preserve"> </w:t>
      </w:r>
      <w:proofErr w:type="spellStart"/>
      <w:r w:rsidR="00D0025C">
        <w:rPr>
          <w:rFonts w:ascii="Calibri" w:hAnsi="Calibri" w:cs="Arial"/>
          <w:sz w:val="20"/>
          <w:szCs w:val="20"/>
        </w:rPr>
        <w:t>Cloud@Customer</w:t>
      </w:r>
      <w:proofErr w:type="spellEnd"/>
      <w:r w:rsidR="00D0025C">
        <w:rPr>
          <w:rFonts w:ascii="Calibri" w:hAnsi="Calibri" w:cs="Arial"/>
          <w:sz w:val="20"/>
          <w:szCs w:val="20"/>
        </w:rPr>
        <w:t>)</w:t>
      </w:r>
      <w:r w:rsidR="004E18C2" w:rsidRPr="00D0025C">
        <w:rPr>
          <w:rFonts w:ascii="Calibri" w:hAnsi="Calibri" w:cs="Arial"/>
          <w:sz w:val="20"/>
          <w:szCs w:val="20"/>
        </w:rPr>
        <w:t xml:space="preserve"> sta, altresì, spingendo all’impiego della soluzione a partire dagli ambienti di collaudo, al fine di automatizzare i passaggi negli altri ambienti utilizzati durante il ciclo di vita del software.</w:t>
      </w:r>
    </w:p>
    <w:p w14:paraId="1FD49C91" w14:textId="585375C4" w:rsidR="00BB3432" w:rsidRDefault="00BB3432" w:rsidP="0036261E">
      <w:pPr>
        <w:spacing w:line="360" w:lineRule="auto"/>
        <w:jc w:val="both"/>
        <w:rPr>
          <w:rFonts w:ascii="Calibri" w:hAnsi="Calibri" w:cs="Arial"/>
          <w:sz w:val="20"/>
          <w:szCs w:val="20"/>
        </w:rPr>
      </w:pPr>
    </w:p>
    <w:p w14:paraId="30F85552" w14:textId="4D6BEDCB" w:rsidR="00AE6881" w:rsidRPr="00447DD9" w:rsidRDefault="00BB3432" w:rsidP="0036261E">
      <w:pPr>
        <w:spacing w:line="360" w:lineRule="auto"/>
        <w:jc w:val="both"/>
        <w:rPr>
          <w:rFonts w:asciiTheme="minorHAnsi" w:hAnsiTheme="minorHAnsi" w:cs="Arial"/>
          <w:bCs/>
          <w:sz w:val="20"/>
          <w:szCs w:val="20"/>
          <w:u w:val="single"/>
        </w:rPr>
      </w:pPr>
      <w:r>
        <w:rPr>
          <w:rFonts w:ascii="Calibri" w:hAnsi="Calibri" w:cs="Arial"/>
          <w:sz w:val="20"/>
          <w:szCs w:val="20"/>
          <w:u w:val="single"/>
        </w:rPr>
        <w:t>C</w:t>
      </w:r>
      <w:r w:rsidR="00AE6881" w:rsidRPr="00BB3432">
        <w:rPr>
          <w:rFonts w:asciiTheme="minorHAnsi" w:hAnsiTheme="minorHAnsi" w:cs="Arial"/>
          <w:bCs/>
          <w:sz w:val="20"/>
          <w:szCs w:val="20"/>
          <w:u w:val="single"/>
        </w:rPr>
        <w:t>onsiderando la modalità di fornitura delle licenze ULA, viene richiesto di poter usufruire della formula ULA2Cloud. Relativamente ai servizi di supporto è richiesto anche l’accesso diretto del personale utilizzato ai laboratori Oracle.</w:t>
      </w:r>
    </w:p>
    <w:p w14:paraId="76D48074" w14:textId="0A6F6D40" w:rsidR="00FB135A" w:rsidRPr="00FB7D45" w:rsidRDefault="00FB135A" w:rsidP="00FB135A">
      <w:pPr>
        <w:jc w:val="both"/>
        <w:rPr>
          <w:rFonts w:ascii="Calibri" w:hAnsi="Calibri" w:cs="Arial"/>
          <w:sz w:val="20"/>
          <w:szCs w:val="20"/>
          <w:highlight w:val="cyan"/>
        </w:rPr>
      </w:pPr>
    </w:p>
    <w:p w14:paraId="4AFA3D2F" w14:textId="7899AA1E" w:rsidR="003447F2" w:rsidRDefault="002F7AC1" w:rsidP="002F7AC1">
      <w:pPr>
        <w:spacing w:line="360" w:lineRule="auto"/>
        <w:jc w:val="both"/>
        <w:rPr>
          <w:rFonts w:asciiTheme="minorHAnsi" w:hAnsiTheme="minorHAnsi" w:cs="Arial"/>
          <w:bCs/>
          <w:sz w:val="20"/>
          <w:szCs w:val="20"/>
        </w:rPr>
      </w:pPr>
      <w:r w:rsidRPr="00447DD9">
        <w:rPr>
          <w:rFonts w:asciiTheme="minorHAnsi" w:hAnsiTheme="minorHAnsi" w:cs="Arial"/>
          <w:bCs/>
          <w:sz w:val="20"/>
          <w:szCs w:val="20"/>
        </w:rPr>
        <w:t xml:space="preserve">Si precisa </w:t>
      </w:r>
      <w:r w:rsidR="00077EE7">
        <w:rPr>
          <w:rFonts w:asciiTheme="minorHAnsi" w:hAnsiTheme="minorHAnsi" w:cs="Arial"/>
          <w:bCs/>
          <w:sz w:val="20"/>
          <w:szCs w:val="20"/>
        </w:rPr>
        <w:t xml:space="preserve">inoltre </w:t>
      </w:r>
      <w:r w:rsidRPr="00447DD9">
        <w:rPr>
          <w:rFonts w:asciiTheme="minorHAnsi" w:hAnsiTheme="minorHAnsi" w:cs="Arial"/>
          <w:bCs/>
          <w:sz w:val="20"/>
          <w:szCs w:val="20"/>
        </w:rPr>
        <w:t>che</w:t>
      </w:r>
      <w:r w:rsidR="00077EE7">
        <w:rPr>
          <w:rFonts w:asciiTheme="minorHAnsi" w:hAnsiTheme="minorHAnsi" w:cs="Arial"/>
          <w:bCs/>
          <w:sz w:val="20"/>
          <w:szCs w:val="20"/>
        </w:rPr>
        <w:t>,</w:t>
      </w:r>
      <w:r w:rsidRPr="00447DD9">
        <w:rPr>
          <w:rFonts w:asciiTheme="minorHAnsi" w:hAnsiTheme="minorHAnsi" w:cs="Arial"/>
          <w:bCs/>
          <w:sz w:val="20"/>
          <w:szCs w:val="20"/>
        </w:rPr>
        <w:t xml:space="preserve"> </w:t>
      </w:r>
      <w:r w:rsidR="003447F2">
        <w:rPr>
          <w:rFonts w:asciiTheme="minorHAnsi" w:hAnsiTheme="minorHAnsi" w:cs="Arial"/>
          <w:bCs/>
          <w:sz w:val="20"/>
          <w:szCs w:val="20"/>
        </w:rPr>
        <w:t xml:space="preserve">nell’ambito del servizio </w:t>
      </w:r>
      <w:r w:rsidRPr="00447DD9">
        <w:rPr>
          <w:rFonts w:asciiTheme="minorHAnsi" w:hAnsiTheme="minorHAnsi" w:cs="Arial"/>
          <w:bCs/>
          <w:sz w:val="20"/>
          <w:szCs w:val="20"/>
        </w:rPr>
        <w:t>di manutenzione,</w:t>
      </w:r>
      <w:r w:rsidR="003447F2">
        <w:rPr>
          <w:rFonts w:asciiTheme="minorHAnsi" w:hAnsiTheme="minorHAnsi" w:cs="Arial"/>
          <w:bCs/>
          <w:sz w:val="20"/>
          <w:szCs w:val="20"/>
        </w:rPr>
        <w:t xml:space="preserve"> per la gestione dei malfunzionamenti </w:t>
      </w:r>
      <w:r w:rsidRPr="00447DD9">
        <w:rPr>
          <w:rFonts w:asciiTheme="minorHAnsi" w:hAnsiTheme="minorHAnsi" w:cs="Arial"/>
          <w:bCs/>
          <w:sz w:val="20"/>
          <w:szCs w:val="20"/>
        </w:rPr>
        <w:t xml:space="preserve">sia </w:t>
      </w:r>
      <w:r w:rsidR="00077EE7">
        <w:rPr>
          <w:rFonts w:asciiTheme="minorHAnsi" w:hAnsiTheme="minorHAnsi" w:cs="Arial"/>
          <w:bCs/>
          <w:sz w:val="20"/>
          <w:szCs w:val="20"/>
        </w:rPr>
        <w:t xml:space="preserve">relativamente alle </w:t>
      </w:r>
      <w:r w:rsidRPr="00447DD9">
        <w:rPr>
          <w:rFonts w:asciiTheme="minorHAnsi" w:hAnsiTheme="minorHAnsi" w:cs="Arial"/>
          <w:bCs/>
          <w:sz w:val="20"/>
          <w:szCs w:val="20"/>
        </w:rPr>
        <w:t xml:space="preserve">nuove licenze </w:t>
      </w:r>
      <w:r w:rsidR="003447F2">
        <w:rPr>
          <w:rFonts w:asciiTheme="minorHAnsi" w:hAnsiTheme="minorHAnsi" w:cs="Arial"/>
          <w:bCs/>
          <w:sz w:val="20"/>
          <w:szCs w:val="20"/>
        </w:rPr>
        <w:t xml:space="preserve">sia relativamente </w:t>
      </w:r>
      <w:r w:rsidR="00077EE7">
        <w:rPr>
          <w:rFonts w:asciiTheme="minorHAnsi" w:hAnsiTheme="minorHAnsi" w:cs="Arial"/>
          <w:bCs/>
          <w:sz w:val="20"/>
          <w:szCs w:val="20"/>
        </w:rPr>
        <w:t>a</w:t>
      </w:r>
      <w:r w:rsidRPr="00447DD9">
        <w:rPr>
          <w:rFonts w:asciiTheme="minorHAnsi" w:hAnsiTheme="minorHAnsi" w:cs="Arial"/>
          <w:bCs/>
          <w:sz w:val="20"/>
          <w:szCs w:val="20"/>
        </w:rPr>
        <w:t xml:space="preserve"> quelle già in uso, </w:t>
      </w:r>
      <w:r w:rsidR="003447F2">
        <w:rPr>
          <w:rFonts w:asciiTheme="minorHAnsi" w:hAnsiTheme="minorHAnsi" w:cs="Arial"/>
          <w:bCs/>
          <w:sz w:val="20"/>
          <w:szCs w:val="20"/>
        </w:rPr>
        <w:t xml:space="preserve">in funzione del livello di gravità, </w:t>
      </w:r>
      <w:r w:rsidRPr="00447DD9">
        <w:rPr>
          <w:rFonts w:asciiTheme="minorHAnsi" w:hAnsiTheme="minorHAnsi" w:cs="Arial"/>
          <w:bCs/>
          <w:sz w:val="20"/>
          <w:szCs w:val="20"/>
        </w:rPr>
        <w:t xml:space="preserve">sono </w:t>
      </w:r>
      <w:r w:rsidR="00077EE7">
        <w:rPr>
          <w:rFonts w:asciiTheme="minorHAnsi" w:hAnsiTheme="minorHAnsi" w:cs="Arial"/>
          <w:bCs/>
          <w:sz w:val="20"/>
          <w:szCs w:val="20"/>
        </w:rPr>
        <w:t>richiesti</w:t>
      </w:r>
      <w:r w:rsidRPr="00447DD9">
        <w:rPr>
          <w:rFonts w:asciiTheme="minorHAnsi" w:hAnsiTheme="minorHAnsi" w:cs="Arial"/>
          <w:bCs/>
          <w:sz w:val="20"/>
          <w:szCs w:val="20"/>
        </w:rPr>
        <w:t xml:space="preserve"> specifici livelli di servizio sia per la presa in carico </w:t>
      </w:r>
      <w:r w:rsidR="003447F2">
        <w:rPr>
          <w:rFonts w:asciiTheme="minorHAnsi" w:hAnsiTheme="minorHAnsi" w:cs="Arial"/>
          <w:bCs/>
          <w:sz w:val="20"/>
          <w:szCs w:val="20"/>
        </w:rPr>
        <w:t xml:space="preserve">e la </w:t>
      </w:r>
      <w:r w:rsidRPr="00447DD9">
        <w:rPr>
          <w:rFonts w:asciiTheme="minorHAnsi" w:hAnsiTheme="minorHAnsi" w:cs="Arial"/>
          <w:bCs/>
          <w:sz w:val="20"/>
          <w:szCs w:val="20"/>
        </w:rPr>
        <w:t>risoluzione, come di seguito riportato:</w:t>
      </w:r>
    </w:p>
    <w:p w14:paraId="3A203556" w14:textId="722880D4" w:rsidR="00BB3432" w:rsidRDefault="00BB3432" w:rsidP="00ED5977">
      <w:pPr>
        <w:spacing w:line="360" w:lineRule="auto"/>
        <w:jc w:val="center"/>
        <w:rPr>
          <w:rFonts w:asciiTheme="minorHAnsi" w:hAnsiTheme="minorHAnsi" w:cs="Arial"/>
          <w:bCs/>
          <w:sz w:val="20"/>
          <w:szCs w:val="20"/>
        </w:rPr>
      </w:pPr>
      <w:r w:rsidRPr="00BB3432">
        <w:rPr>
          <w:noProof/>
        </w:rPr>
        <w:drawing>
          <wp:inline distT="0" distB="0" distL="0" distR="0" wp14:anchorId="6C5EFC40" wp14:editId="7D95AD5B">
            <wp:extent cx="5245100" cy="27241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5100" cy="2724150"/>
                    </a:xfrm>
                    <a:prstGeom prst="rect">
                      <a:avLst/>
                    </a:prstGeom>
                    <a:noFill/>
                    <a:ln>
                      <a:noFill/>
                    </a:ln>
                  </pic:spPr>
                </pic:pic>
              </a:graphicData>
            </a:graphic>
          </wp:inline>
        </w:drawing>
      </w:r>
    </w:p>
    <w:p w14:paraId="130EA6A0" w14:textId="1EC54C9C" w:rsidR="0030431C" w:rsidRDefault="0030431C" w:rsidP="0030431C">
      <w:pPr>
        <w:spacing w:line="360" w:lineRule="auto"/>
        <w:jc w:val="both"/>
        <w:rPr>
          <w:rFonts w:ascii="Calibri" w:hAnsi="Calibri" w:cs="Arial"/>
          <w:sz w:val="20"/>
          <w:szCs w:val="20"/>
        </w:rPr>
      </w:pPr>
      <w:r w:rsidRPr="00356916">
        <w:rPr>
          <w:rFonts w:ascii="Calibri" w:hAnsi="Calibri" w:cs="Arial"/>
          <w:sz w:val="20"/>
          <w:szCs w:val="20"/>
        </w:rPr>
        <w:t xml:space="preserve">La durata </w:t>
      </w:r>
      <w:r w:rsidR="00356916" w:rsidRPr="00356916">
        <w:rPr>
          <w:rFonts w:ascii="Calibri" w:hAnsi="Calibri" w:cs="Arial"/>
          <w:sz w:val="20"/>
          <w:szCs w:val="20"/>
        </w:rPr>
        <w:t xml:space="preserve">prevista </w:t>
      </w:r>
      <w:r w:rsidRPr="00356916">
        <w:rPr>
          <w:rFonts w:ascii="Calibri" w:hAnsi="Calibri" w:cs="Arial"/>
          <w:sz w:val="20"/>
          <w:szCs w:val="20"/>
        </w:rPr>
        <w:t xml:space="preserve">del Contratto è di </w:t>
      </w:r>
      <w:r w:rsidR="00D0025C">
        <w:rPr>
          <w:rFonts w:ascii="Calibri" w:hAnsi="Calibri" w:cs="Arial"/>
          <w:sz w:val="20"/>
          <w:szCs w:val="20"/>
        </w:rPr>
        <w:t>36</w:t>
      </w:r>
      <w:r w:rsidRPr="00356916">
        <w:rPr>
          <w:rFonts w:ascii="Calibri" w:hAnsi="Calibri" w:cs="Arial"/>
          <w:sz w:val="20"/>
          <w:szCs w:val="20"/>
        </w:rPr>
        <w:t xml:space="preserve"> mesi dalla data di stipula.</w:t>
      </w:r>
    </w:p>
    <w:p w14:paraId="1218C5F4" w14:textId="5AC8CBC9" w:rsidR="00BB3432" w:rsidRDefault="00BB3432" w:rsidP="0030431C">
      <w:pPr>
        <w:spacing w:line="360" w:lineRule="auto"/>
        <w:jc w:val="both"/>
        <w:rPr>
          <w:rFonts w:ascii="Calibri" w:hAnsi="Calibri" w:cs="Arial"/>
          <w:sz w:val="20"/>
          <w:szCs w:val="20"/>
        </w:rPr>
      </w:pPr>
      <w:r>
        <w:rPr>
          <w:rFonts w:ascii="Calibri" w:hAnsi="Calibri" w:cs="Arial"/>
          <w:sz w:val="20"/>
          <w:szCs w:val="20"/>
        </w:rPr>
        <w:t xml:space="preserve">L’importo stimato per la fornitura è </w:t>
      </w:r>
      <w:r w:rsidR="00C77BDF">
        <w:rPr>
          <w:rFonts w:ascii="Calibri" w:hAnsi="Calibri" w:cs="Arial"/>
          <w:sz w:val="20"/>
          <w:szCs w:val="20"/>
        </w:rPr>
        <w:t>circa</w:t>
      </w:r>
      <w:r>
        <w:rPr>
          <w:rFonts w:ascii="Calibri" w:hAnsi="Calibri" w:cs="Arial"/>
          <w:sz w:val="20"/>
          <w:szCs w:val="20"/>
        </w:rPr>
        <w:t xml:space="preserve"> € </w:t>
      </w:r>
      <w:r w:rsidR="00C77BDF">
        <w:rPr>
          <w:rFonts w:ascii="Calibri" w:hAnsi="Calibri" w:cs="Arial"/>
          <w:sz w:val="20"/>
          <w:szCs w:val="20"/>
        </w:rPr>
        <w:t>23.900.000</w:t>
      </w:r>
      <w:r>
        <w:rPr>
          <w:rFonts w:ascii="Calibri" w:hAnsi="Calibri" w:cs="Arial"/>
          <w:sz w:val="20"/>
          <w:szCs w:val="20"/>
        </w:rPr>
        <w:t>,00 IVA esclusa.</w:t>
      </w:r>
    </w:p>
    <w:p w14:paraId="1F26368C" w14:textId="0DE7786D" w:rsidR="005E0951" w:rsidRPr="006C6906" w:rsidRDefault="005E0951" w:rsidP="0036261E">
      <w:pPr>
        <w:spacing w:line="360" w:lineRule="auto"/>
        <w:jc w:val="both"/>
        <w:rPr>
          <w:rFonts w:ascii="Calibri" w:hAnsi="Calibri"/>
          <w:sz w:val="20"/>
          <w:szCs w:val="20"/>
        </w:rPr>
      </w:pPr>
      <w:r w:rsidRPr="006C6906">
        <w:rPr>
          <w:rFonts w:ascii="Calibri" w:hAnsi="Calibri"/>
          <w:sz w:val="20"/>
          <w:szCs w:val="20"/>
        </w:rPr>
        <w:lastRenderedPageBreak/>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18074D76" w14:textId="025DC657" w:rsidR="005E0951" w:rsidRDefault="005E0951" w:rsidP="0036261E">
      <w:pPr>
        <w:spacing w:line="360" w:lineRule="auto"/>
        <w:jc w:val="both"/>
        <w:rPr>
          <w:rFonts w:ascii="Calibri" w:hAnsi="Calibri" w:cs="Arial"/>
          <w:sz w:val="20"/>
          <w:szCs w:val="20"/>
        </w:rPr>
      </w:pPr>
      <w:r w:rsidRPr="007D450A">
        <w:rPr>
          <w:rFonts w:ascii="Calibri" w:hAnsi="Calibri" w:cs="Arial"/>
          <w:sz w:val="20"/>
          <w:szCs w:val="20"/>
        </w:rPr>
        <w:t xml:space="preserve">Si fa presente che Consip </w:t>
      </w:r>
      <w:r w:rsidR="004B774B" w:rsidRPr="004B774B">
        <w:rPr>
          <w:rFonts w:ascii="Calibri" w:hAnsi="Calibri" w:cs="Arial"/>
          <w:sz w:val="20"/>
          <w:szCs w:val="20"/>
        </w:rPr>
        <w:t>prevede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6B336EF9" w14:textId="77777777" w:rsidR="005E0951" w:rsidRPr="006C6906" w:rsidRDefault="005E0951" w:rsidP="0036261E">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w:t>
      </w:r>
      <w:proofErr w:type="spellStart"/>
      <w:r w:rsidRPr="006C6906">
        <w:rPr>
          <w:rFonts w:ascii="Calibri" w:hAnsi="Calibri"/>
          <w:sz w:val="20"/>
          <w:szCs w:val="20"/>
        </w:rPr>
        <w:t>Lgs</w:t>
      </w:r>
      <w:proofErr w:type="spellEnd"/>
      <w:r w:rsidRPr="006C6906">
        <w:rPr>
          <w:rFonts w:ascii="Calibri" w:hAnsi="Calibri"/>
          <w:sz w:val="20"/>
          <w:szCs w:val="20"/>
        </w:rPr>
        <w:t>. n. 50/2016, Consip si riserva sin d’ora di procedere all’acquisto mediante procedura negoziata senza pubblicazione del bando</w:t>
      </w:r>
      <w:r>
        <w:rPr>
          <w:rFonts w:ascii="Calibri" w:hAnsi="Calibri"/>
          <w:sz w:val="20"/>
          <w:szCs w:val="20"/>
        </w:rPr>
        <w:t>.</w:t>
      </w:r>
    </w:p>
    <w:p w14:paraId="2FD1D006" w14:textId="77777777" w:rsidR="005E0951" w:rsidRDefault="005E0951" w:rsidP="00A86554">
      <w:pPr>
        <w:spacing w:line="276" w:lineRule="auto"/>
        <w:ind w:left="284"/>
        <w:jc w:val="both"/>
        <w:rPr>
          <w:rFonts w:asciiTheme="minorHAnsi" w:hAnsiTheme="minorHAnsi" w:cs="Arial"/>
          <w:bCs/>
          <w:sz w:val="20"/>
          <w:szCs w:val="20"/>
        </w:rPr>
      </w:pPr>
    </w:p>
    <w:p w14:paraId="2D99B963" w14:textId="6B25BAF5" w:rsidR="00122B75" w:rsidRPr="00BB4433" w:rsidRDefault="005E0951" w:rsidP="005E0951">
      <w:pPr>
        <w:spacing w:line="276" w:lineRule="auto"/>
        <w:ind w:left="284"/>
        <w:jc w:val="center"/>
        <w:rPr>
          <w:rFonts w:asciiTheme="minorHAnsi" w:hAnsiTheme="minorHAnsi" w:cs="Arial"/>
          <w:bCs/>
          <w:sz w:val="20"/>
          <w:szCs w:val="20"/>
        </w:rPr>
      </w:pPr>
      <w:r>
        <w:rPr>
          <w:rFonts w:asciiTheme="minorHAnsi" w:hAnsiTheme="minorHAnsi" w:cs="Arial"/>
          <w:b/>
          <w:bCs/>
          <w:sz w:val="20"/>
          <w:szCs w:val="20"/>
        </w:rPr>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6F3B443F" w14:textId="77777777" w:rsidR="00FA737A" w:rsidRDefault="00FA737A" w:rsidP="00BF13C1">
      <w:pPr>
        <w:ind w:left="284"/>
        <w:jc w:val="both"/>
        <w:rPr>
          <w:rFonts w:asciiTheme="minorHAnsi" w:hAnsiTheme="minorHAnsi" w:cs="Arial"/>
          <w:bCs/>
          <w:color w:val="FF0000"/>
          <w:sz w:val="20"/>
          <w:szCs w:val="20"/>
        </w:rPr>
      </w:pPr>
    </w:p>
    <w:p w14:paraId="63AE2682" w14:textId="0F517D7D" w:rsidR="00F800E6" w:rsidRPr="00F800E6" w:rsidRDefault="00F800E6" w:rsidP="00B86025">
      <w:pPr>
        <w:numPr>
          <w:ilvl w:val="0"/>
          <w:numId w:val="4"/>
        </w:numPr>
        <w:spacing w:line="276" w:lineRule="auto"/>
        <w:ind w:left="284"/>
        <w:jc w:val="both"/>
        <w:rPr>
          <w:rFonts w:asciiTheme="minorHAnsi" w:hAnsiTheme="minorHAnsi" w:cs="Arial"/>
          <w:bCs/>
          <w:sz w:val="20"/>
          <w:szCs w:val="20"/>
        </w:rPr>
      </w:pPr>
      <w:r w:rsidRPr="00F800E6">
        <w:rPr>
          <w:rFonts w:asciiTheme="minorHAnsi" w:hAnsiTheme="minorHAnsi" w:cs="Arial"/>
          <w:bCs/>
          <w:sz w:val="20"/>
          <w:szCs w:val="20"/>
        </w:rPr>
        <w:t xml:space="preserve">Riportare una breve descrizione dell’azienda, indicando la tipologia (piccola, media, grande), i </w:t>
      </w:r>
      <w:r w:rsidRPr="00F800E6">
        <w:rPr>
          <w:rFonts w:asciiTheme="minorHAnsi" w:hAnsiTheme="minorHAnsi" w:cs="Arial"/>
          <w:bCs/>
          <w:sz w:val="20"/>
          <w:szCs w:val="20"/>
        </w:rPr>
        <w:tab/>
        <w:t>settor</w:t>
      </w:r>
      <w:r>
        <w:rPr>
          <w:rFonts w:asciiTheme="minorHAnsi" w:hAnsiTheme="minorHAnsi" w:cs="Arial"/>
          <w:bCs/>
          <w:sz w:val="20"/>
          <w:szCs w:val="20"/>
        </w:rPr>
        <w:t xml:space="preserve">i di attività, </w:t>
      </w:r>
      <w:proofErr w:type="gramStart"/>
      <w:r>
        <w:rPr>
          <w:rFonts w:asciiTheme="minorHAnsi" w:hAnsiTheme="minorHAnsi" w:cs="Arial"/>
          <w:bCs/>
          <w:sz w:val="20"/>
          <w:szCs w:val="20"/>
        </w:rPr>
        <w:t>il core</w:t>
      </w:r>
      <w:proofErr w:type="gramEnd"/>
      <w:r>
        <w:rPr>
          <w:rFonts w:asciiTheme="minorHAnsi" w:hAnsiTheme="minorHAnsi" w:cs="Arial"/>
          <w:bCs/>
          <w:sz w:val="20"/>
          <w:szCs w:val="20"/>
        </w:rPr>
        <w:t xml:space="preserve"> business</w:t>
      </w:r>
      <w:r w:rsidRPr="00F800E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000CFF86" w14:textId="77777777" w:rsidTr="006A3580">
        <w:trPr>
          <w:trHeight w:val="1824"/>
        </w:trPr>
        <w:tc>
          <w:tcPr>
            <w:tcW w:w="8494" w:type="dxa"/>
            <w:shd w:val="clear" w:color="auto" w:fill="F2F2F2" w:themeFill="background1" w:themeFillShade="F2"/>
          </w:tcPr>
          <w:p w14:paraId="109A070C" w14:textId="77777777" w:rsidR="00F800E6" w:rsidRDefault="00F800E6" w:rsidP="006A3580">
            <w:pPr>
              <w:ind w:left="284"/>
              <w:jc w:val="both"/>
              <w:rPr>
                <w:rFonts w:asciiTheme="minorHAnsi" w:hAnsiTheme="minorHAnsi" w:cs="Arial"/>
                <w:bCs/>
                <w:sz w:val="20"/>
                <w:szCs w:val="20"/>
              </w:rPr>
            </w:pPr>
          </w:p>
        </w:tc>
      </w:tr>
    </w:tbl>
    <w:p w14:paraId="23E50B59" w14:textId="77777777" w:rsidR="00F800E6" w:rsidRDefault="00F800E6" w:rsidP="00F800E6">
      <w:pPr>
        <w:spacing w:line="276" w:lineRule="auto"/>
        <w:ind w:left="284"/>
        <w:jc w:val="both"/>
        <w:rPr>
          <w:rFonts w:asciiTheme="minorHAnsi" w:hAnsiTheme="minorHAnsi" w:cs="Arial"/>
          <w:bCs/>
          <w:sz w:val="20"/>
          <w:szCs w:val="20"/>
        </w:rPr>
      </w:pPr>
    </w:p>
    <w:p w14:paraId="4FB605F3" w14:textId="3C084252" w:rsidR="00C920CC" w:rsidRDefault="00D2474C" w:rsidP="009335E0">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la fornitura di </w:t>
      </w:r>
      <w:r w:rsidR="00C01685">
        <w:rPr>
          <w:rFonts w:asciiTheme="minorHAnsi" w:hAnsiTheme="minorHAnsi" w:cs="Arial"/>
          <w:bCs/>
          <w:sz w:val="20"/>
          <w:szCs w:val="20"/>
        </w:rPr>
        <w:t>prodotti e servizi Oracle</w:t>
      </w:r>
      <w:r>
        <w:rPr>
          <w:rFonts w:asciiTheme="minorHAnsi" w:hAnsiTheme="minorHAnsi" w:cs="Arial"/>
          <w:bCs/>
          <w:sz w:val="20"/>
          <w:szCs w:val="20"/>
        </w:rPr>
        <w:t xml:space="preserve"> nel triennio precedente all’anno corrente (</w:t>
      </w:r>
      <w:r w:rsidR="00C01685">
        <w:rPr>
          <w:rFonts w:asciiTheme="minorHAnsi" w:hAnsiTheme="minorHAnsi" w:cs="Arial"/>
          <w:bCs/>
          <w:sz w:val="20"/>
          <w:szCs w:val="20"/>
        </w:rPr>
        <w:t>2016 - 2018</w:t>
      </w:r>
      <w:r>
        <w:rPr>
          <w:rFonts w:asciiTheme="minorHAnsi" w:hAnsiTheme="minorHAnsi" w:cs="Arial"/>
          <w:bCs/>
          <w:sz w:val="20"/>
          <w:szCs w:val="20"/>
        </w:rPr>
        <w:t>)</w:t>
      </w:r>
      <w:r w:rsidR="002B7ED1">
        <w:rPr>
          <w:rFonts w:asciiTheme="minorHAnsi" w:hAnsiTheme="minorHAnsi" w:cs="Arial"/>
          <w:bCs/>
          <w:sz w:val="20"/>
          <w:szCs w:val="20"/>
        </w:rPr>
        <w:t xml:space="preserve">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55473AC5" w14:textId="4B91BF89" w:rsidR="002B7ED1" w:rsidRDefault="002B7ED1" w:rsidP="009335E0">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362859BD" w14:textId="77777777" w:rsidR="00B64E33" w:rsidRDefault="00B64E33" w:rsidP="00BF13C1">
      <w:pPr>
        <w:ind w:left="284"/>
        <w:jc w:val="both"/>
        <w:rPr>
          <w:rFonts w:ascii="Trebuchet MS" w:hAnsi="Trebuchet MS" w:cs="Arial"/>
          <w:i/>
          <w:color w:val="0000FF"/>
          <w:sz w:val="20"/>
          <w:szCs w:val="20"/>
        </w:rPr>
      </w:pPr>
    </w:p>
    <w:p w14:paraId="1CAB7E87" w14:textId="4DE137B5" w:rsidR="007F4C38" w:rsidRPr="007F4C38" w:rsidRDefault="007F4C38" w:rsidP="009335E0">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Definire il mercato di riferimento PAC e/o PAL (</w:t>
      </w:r>
      <w:r w:rsidRPr="00165213">
        <w:rPr>
          <w:rFonts w:asciiTheme="minorHAnsi" w:hAnsiTheme="minorHAnsi" w:cs="Arial"/>
          <w:bCs/>
          <w:sz w:val="20"/>
          <w:szCs w:val="20"/>
        </w:rPr>
        <w:t>l’Azienda che risponde deve indicare il proprio mercato di riferimento e il relativo fatturato annuo per licenze sw Oracle e relativa manutenzione, con particolare riferimento alla modalità di licensing “</w:t>
      </w:r>
      <w:proofErr w:type="spellStart"/>
      <w:r w:rsidRPr="00165213">
        <w:rPr>
          <w:rFonts w:asciiTheme="minorHAnsi" w:hAnsiTheme="minorHAnsi" w:cs="Arial"/>
          <w:bCs/>
          <w:sz w:val="20"/>
          <w:szCs w:val="20"/>
        </w:rPr>
        <w:t>U</w:t>
      </w:r>
      <w:r w:rsidR="00165213">
        <w:rPr>
          <w:rFonts w:asciiTheme="minorHAnsi" w:hAnsiTheme="minorHAnsi" w:cs="Arial"/>
          <w:bCs/>
          <w:sz w:val="20"/>
          <w:szCs w:val="20"/>
        </w:rPr>
        <w:t>nlimited</w:t>
      </w:r>
      <w:proofErr w:type="spellEnd"/>
      <w:r w:rsidR="00165213">
        <w:rPr>
          <w:rFonts w:asciiTheme="minorHAnsi" w:hAnsiTheme="minorHAnsi" w:cs="Arial"/>
          <w:bCs/>
          <w:sz w:val="20"/>
          <w:szCs w:val="20"/>
        </w:rPr>
        <w:t xml:space="preserve"> License Agreement”</w:t>
      </w:r>
      <w:r w:rsidR="000A3344">
        <w:rPr>
          <w:rFonts w:asciiTheme="minorHAnsi" w:hAnsiTheme="minorHAnsi" w:cs="Arial"/>
          <w:bCs/>
          <w:sz w:val="20"/>
          <w:szCs w:val="20"/>
        </w:rPr>
        <w:t xml:space="preserve"> e/o ai servizi veicolati attraverso la modalità “</w:t>
      </w:r>
      <w:proofErr w:type="spellStart"/>
      <w:r w:rsidR="000A3344">
        <w:rPr>
          <w:rFonts w:asciiTheme="minorHAnsi" w:hAnsiTheme="minorHAnsi" w:cs="Arial"/>
          <w:bCs/>
          <w:sz w:val="20"/>
          <w:szCs w:val="20"/>
        </w:rPr>
        <w:t>cloud@customer</w:t>
      </w:r>
      <w:proofErr w:type="spellEnd"/>
      <w:r w:rsidR="000A3344">
        <w:rPr>
          <w:rFonts w:asciiTheme="minorHAnsi" w:hAnsiTheme="minorHAnsi" w:cs="Arial"/>
          <w:bCs/>
          <w:sz w:val="20"/>
          <w:szCs w:val="20"/>
        </w:rPr>
        <w:t>”)</w:t>
      </w:r>
      <w:r w:rsidR="00295FCD" w:rsidRPr="00165213">
        <w:rPr>
          <w:rFonts w:asciiTheme="minorHAnsi" w:hAnsiTheme="minorHAnsi" w:cs="Arial"/>
          <w:bCs/>
          <w:sz w:val="20"/>
          <w:szCs w:val="20"/>
        </w:rPr>
        <w:t>.</w:t>
      </w:r>
    </w:p>
    <w:p w14:paraId="4B256700" w14:textId="77777777" w:rsidR="009D4460" w:rsidRPr="009D4460" w:rsidRDefault="009D4460" w:rsidP="00BF13C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25B83B82" w14:textId="77777777" w:rsidR="00B64E33" w:rsidRDefault="00B64E33" w:rsidP="00BF13C1">
      <w:pPr>
        <w:ind w:left="284"/>
        <w:jc w:val="both"/>
        <w:rPr>
          <w:rFonts w:ascii="Trebuchet MS" w:hAnsi="Trebuchet MS" w:cs="Arial"/>
          <w:i/>
          <w:color w:val="0000FF"/>
          <w:sz w:val="20"/>
          <w:szCs w:val="20"/>
        </w:rPr>
      </w:pPr>
    </w:p>
    <w:p w14:paraId="71DF0AE7" w14:textId="57491B2E" w:rsidR="007F4C38" w:rsidRPr="007F4C38" w:rsidRDefault="007F4C38" w:rsidP="009335E0">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 xml:space="preserve">Descrivere gli eventuali accordi commerciali intrapresi con Oracle Corporation o sue dirette controllate o distributori delegati a stipulare tali accordi che consentono di potere operare sul mercato italiano per </w:t>
      </w:r>
      <w:r>
        <w:rPr>
          <w:rFonts w:asciiTheme="minorHAnsi" w:hAnsiTheme="minorHAnsi" w:cs="Arial"/>
          <w:bCs/>
          <w:sz w:val="20"/>
          <w:szCs w:val="20"/>
        </w:rPr>
        <w:t xml:space="preserve">le varie categorie </w:t>
      </w:r>
      <w:r w:rsidRPr="007F4C38">
        <w:rPr>
          <w:rFonts w:asciiTheme="minorHAnsi" w:hAnsiTheme="minorHAnsi" w:cs="Arial"/>
          <w:bCs/>
          <w:sz w:val="20"/>
          <w:szCs w:val="20"/>
        </w:rPr>
        <w:t xml:space="preserve">di </w:t>
      </w:r>
      <w:r>
        <w:rPr>
          <w:rFonts w:asciiTheme="minorHAnsi" w:hAnsiTheme="minorHAnsi" w:cs="Arial"/>
          <w:bCs/>
          <w:sz w:val="20"/>
          <w:szCs w:val="20"/>
        </w:rPr>
        <w:t xml:space="preserve">prodotti e </w:t>
      </w:r>
      <w:r w:rsidRPr="004928A4">
        <w:rPr>
          <w:rFonts w:asciiTheme="minorHAnsi" w:hAnsiTheme="minorHAnsi" w:cs="Arial"/>
          <w:bCs/>
          <w:sz w:val="20"/>
          <w:szCs w:val="20"/>
        </w:rPr>
        <w:t>servizi</w:t>
      </w:r>
      <w:r w:rsidR="000A3344">
        <w:rPr>
          <w:rFonts w:asciiTheme="minorHAnsi" w:hAnsiTheme="minorHAnsi" w:cs="Arial"/>
          <w:bCs/>
          <w:sz w:val="20"/>
          <w:szCs w:val="20"/>
        </w:rPr>
        <w:t>, di cui ai precedenti punti</w:t>
      </w:r>
      <w:r w:rsidRPr="004928A4">
        <w:rPr>
          <w:rFonts w:asciiTheme="minorHAnsi" w:hAnsiTheme="minorHAnsi" w:cs="Arial"/>
          <w:bCs/>
          <w:sz w:val="20"/>
          <w:szCs w:val="20"/>
        </w:rPr>
        <w:t xml:space="preserve"> </w:t>
      </w:r>
      <w:proofErr w:type="gramStart"/>
      <w:r w:rsidR="000A3344">
        <w:rPr>
          <w:rFonts w:asciiTheme="minorHAnsi" w:hAnsiTheme="minorHAnsi" w:cs="Arial"/>
          <w:bCs/>
          <w:sz w:val="20"/>
          <w:szCs w:val="20"/>
        </w:rPr>
        <w:t>1)a</w:t>
      </w:r>
      <w:proofErr w:type="gramEnd"/>
      <w:r w:rsidR="00356916">
        <w:rPr>
          <w:rFonts w:asciiTheme="minorHAnsi" w:hAnsiTheme="minorHAnsi" w:cs="Arial"/>
          <w:bCs/>
          <w:sz w:val="20"/>
          <w:szCs w:val="20"/>
        </w:rPr>
        <w:t>)</w:t>
      </w:r>
      <w:r w:rsidR="00295FCD" w:rsidRPr="004928A4">
        <w:rPr>
          <w:rFonts w:asciiTheme="minorHAnsi" w:hAnsiTheme="minorHAnsi" w:cs="Arial"/>
          <w:bCs/>
          <w:sz w:val="20"/>
          <w:szCs w:val="20"/>
        </w:rPr>
        <w:t xml:space="preserve">, </w:t>
      </w:r>
      <w:r w:rsidR="000A3344">
        <w:rPr>
          <w:rFonts w:asciiTheme="minorHAnsi" w:hAnsiTheme="minorHAnsi" w:cs="Arial"/>
          <w:bCs/>
          <w:sz w:val="20"/>
          <w:szCs w:val="20"/>
        </w:rPr>
        <w:t xml:space="preserve">1)b), 2), 3), </w:t>
      </w:r>
      <w:r w:rsidRPr="004928A4">
        <w:rPr>
          <w:rFonts w:asciiTheme="minorHAnsi" w:hAnsiTheme="minorHAnsi" w:cs="Arial"/>
          <w:bCs/>
          <w:sz w:val="20"/>
          <w:szCs w:val="20"/>
        </w:rPr>
        <w:t>oggetto</w:t>
      </w:r>
      <w:r>
        <w:rPr>
          <w:rFonts w:asciiTheme="minorHAnsi" w:hAnsiTheme="minorHAnsi" w:cs="Arial"/>
          <w:bCs/>
          <w:sz w:val="20"/>
          <w:szCs w:val="20"/>
        </w:rPr>
        <w:t xml:space="preserve"> della </w:t>
      </w:r>
      <w:r w:rsidRPr="007F4C38">
        <w:rPr>
          <w:rFonts w:asciiTheme="minorHAnsi" w:hAnsiTheme="minorHAnsi" w:cs="Arial"/>
          <w:bCs/>
          <w:sz w:val="20"/>
          <w:szCs w:val="20"/>
        </w:rPr>
        <w:t xml:space="preserve">fornitura in </w:t>
      </w:r>
      <w:r w:rsidR="000A3344">
        <w:rPr>
          <w:rFonts w:asciiTheme="minorHAnsi" w:hAnsiTheme="minorHAnsi" w:cs="Arial"/>
          <w:bCs/>
          <w:sz w:val="20"/>
          <w:szCs w:val="20"/>
        </w:rPr>
        <w:t>discorso</w:t>
      </w:r>
      <w:r w:rsidRPr="007F4C38">
        <w:rPr>
          <w:rFonts w:asciiTheme="minorHAnsi" w:hAnsiTheme="minorHAnsi" w:cs="Arial"/>
          <w:bCs/>
          <w:sz w:val="20"/>
          <w:szCs w:val="20"/>
        </w:rPr>
        <w:t>.</w:t>
      </w:r>
    </w:p>
    <w:p w14:paraId="3135E54B" w14:textId="77777777" w:rsidR="007F4C38" w:rsidRPr="009D4460" w:rsidRDefault="007F4C38" w:rsidP="007F4C38">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1A1F86">
            <w:pPr>
              <w:ind w:left="284"/>
              <w:jc w:val="both"/>
              <w:rPr>
                <w:rFonts w:asciiTheme="minorHAnsi" w:hAnsiTheme="minorHAnsi" w:cs="Arial"/>
                <w:bCs/>
                <w:sz w:val="20"/>
                <w:szCs w:val="20"/>
              </w:rPr>
            </w:pPr>
          </w:p>
        </w:tc>
      </w:tr>
    </w:tbl>
    <w:p w14:paraId="0FCC99BC" w14:textId="77777777" w:rsidR="007F4C38" w:rsidRDefault="007F4C38" w:rsidP="007F4C38">
      <w:pPr>
        <w:ind w:left="284"/>
        <w:jc w:val="both"/>
        <w:rPr>
          <w:rFonts w:ascii="Trebuchet MS" w:hAnsi="Trebuchet MS" w:cs="Arial"/>
          <w:i/>
          <w:color w:val="0000FF"/>
          <w:sz w:val="20"/>
          <w:szCs w:val="20"/>
        </w:rPr>
      </w:pPr>
    </w:p>
    <w:p w14:paraId="4FE5A586" w14:textId="1F27B44A" w:rsidR="00F800E6" w:rsidRDefault="00F800E6" w:rsidP="00F800E6">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Specificare se la fornitura dei prodotti e l’erogazione dei servizi</w:t>
      </w:r>
      <w:r w:rsidRPr="00F800E6">
        <w:t xml:space="preserve"> </w:t>
      </w:r>
      <w:r w:rsidRPr="00F800E6">
        <w:rPr>
          <w:rFonts w:asciiTheme="minorHAnsi" w:hAnsiTheme="minorHAnsi" w:cs="Arial"/>
          <w:bCs/>
          <w:sz w:val="20"/>
          <w:szCs w:val="20"/>
        </w:rPr>
        <w:t xml:space="preserve">di cui ai precedenti punti </w:t>
      </w:r>
      <w:proofErr w:type="gramStart"/>
      <w:r w:rsidRPr="00F800E6">
        <w:rPr>
          <w:rFonts w:asciiTheme="minorHAnsi" w:hAnsiTheme="minorHAnsi" w:cs="Arial"/>
          <w:bCs/>
          <w:sz w:val="20"/>
          <w:szCs w:val="20"/>
        </w:rPr>
        <w:t>1)a</w:t>
      </w:r>
      <w:proofErr w:type="gramEnd"/>
      <w:r w:rsidRPr="00F800E6">
        <w:rPr>
          <w:rFonts w:asciiTheme="minorHAnsi" w:hAnsiTheme="minorHAnsi" w:cs="Arial"/>
          <w:bCs/>
          <w:sz w:val="20"/>
          <w:szCs w:val="20"/>
        </w:rPr>
        <w:t>), 1)b), 2), 3), rientra</w:t>
      </w:r>
      <w:r>
        <w:rPr>
          <w:rFonts w:asciiTheme="minorHAnsi" w:hAnsiTheme="minorHAnsi" w:cs="Arial"/>
          <w:bCs/>
          <w:sz w:val="20"/>
          <w:szCs w:val="20"/>
        </w:rPr>
        <w:t>no</w:t>
      </w:r>
      <w:r w:rsidRPr="00F800E6">
        <w:rPr>
          <w:rFonts w:asciiTheme="minorHAnsi" w:hAnsiTheme="minorHAnsi" w:cs="Arial"/>
          <w:bCs/>
          <w:sz w:val="20"/>
          <w:szCs w:val="20"/>
        </w:rPr>
        <w:t xml:space="preserve"> nelle attività di fornitura della vostra azienda. Se sì, specificare se in virtù di diritti esclusivi, accordi commerciali o altro.</w:t>
      </w:r>
    </w:p>
    <w:p w14:paraId="2B252890" w14:textId="77777777" w:rsidR="00F800E6" w:rsidRPr="00F800E6" w:rsidRDefault="00F800E6" w:rsidP="00B86025">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6A3580">
        <w:trPr>
          <w:trHeight w:val="1824"/>
        </w:trPr>
        <w:tc>
          <w:tcPr>
            <w:tcW w:w="8494" w:type="dxa"/>
            <w:shd w:val="clear" w:color="auto" w:fill="F2F2F2" w:themeFill="background1" w:themeFillShade="F2"/>
          </w:tcPr>
          <w:p w14:paraId="4CB48B9A" w14:textId="77777777" w:rsidR="00F800E6" w:rsidRDefault="00F800E6" w:rsidP="006A3580">
            <w:pPr>
              <w:ind w:left="284"/>
              <w:jc w:val="both"/>
              <w:rPr>
                <w:rFonts w:asciiTheme="minorHAnsi" w:hAnsiTheme="minorHAnsi" w:cs="Arial"/>
                <w:bCs/>
                <w:sz w:val="20"/>
                <w:szCs w:val="20"/>
              </w:rPr>
            </w:pPr>
          </w:p>
        </w:tc>
      </w:tr>
    </w:tbl>
    <w:p w14:paraId="3AC44067" w14:textId="7991EDEC" w:rsidR="00F800E6" w:rsidRPr="00B86025" w:rsidRDefault="00F800E6" w:rsidP="00B86025">
      <w:pPr>
        <w:pStyle w:val="Paragrafoelenco"/>
        <w:ind w:left="360"/>
        <w:jc w:val="both"/>
        <w:rPr>
          <w:rFonts w:asciiTheme="minorHAnsi" w:hAnsiTheme="minorHAnsi" w:cs="Arial"/>
          <w:bCs/>
          <w:sz w:val="20"/>
          <w:szCs w:val="20"/>
        </w:rPr>
      </w:pPr>
    </w:p>
    <w:p w14:paraId="1EED0AF0" w14:textId="77777777" w:rsidR="007F4C38" w:rsidRDefault="007F4C38" w:rsidP="00BF13C1">
      <w:pPr>
        <w:spacing w:line="276" w:lineRule="auto"/>
        <w:ind w:left="284"/>
        <w:jc w:val="both"/>
        <w:rPr>
          <w:rFonts w:asciiTheme="minorHAnsi" w:hAnsiTheme="minorHAnsi" w:cs="Arial"/>
          <w:bCs/>
          <w:sz w:val="20"/>
          <w:szCs w:val="20"/>
        </w:rPr>
      </w:pPr>
    </w:p>
    <w:p w14:paraId="16D7C7DD" w14:textId="5C5C2EFD" w:rsidR="007F4C38" w:rsidRPr="007F4C38" w:rsidRDefault="007F4C38" w:rsidP="00845CFF">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Indicare le eventuali referenze dimostrabili per la fornitura di prodotti Oracle in modalità di licensing ULA</w:t>
      </w:r>
      <w:r w:rsidR="00295FCD">
        <w:rPr>
          <w:rFonts w:asciiTheme="minorHAnsi" w:hAnsiTheme="minorHAnsi" w:cs="Arial"/>
          <w:bCs/>
          <w:sz w:val="20"/>
          <w:szCs w:val="20"/>
        </w:rPr>
        <w:t>/PULA</w:t>
      </w:r>
      <w:r w:rsidRPr="007F4C38">
        <w:rPr>
          <w:rFonts w:asciiTheme="minorHAnsi" w:hAnsiTheme="minorHAnsi" w:cs="Arial"/>
          <w:bCs/>
          <w:sz w:val="20"/>
          <w:szCs w:val="20"/>
        </w:rPr>
        <w:t xml:space="preserve"> a Pubbliche Amministrazioni Centrali o Locali italiane di grandi dimensioni negli ultimi 3 anni</w:t>
      </w:r>
      <w:r w:rsidR="00B96941">
        <w:rPr>
          <w:rFonts w:asciiTheme="minorHAnsi" w:hAnsiTheme="minorHAnsi" w:cs="Arial"/>
          <w:bCs/>
          <w:sz w:val="20"/>
          <w:szCs w:val="20"/>
        </w:rPr>
        <w:t xml:space="preserve"> e/o di forniture di servizi Oracle in modalità “</w:t>
      </w:r>
      <w:proofErr w:type="spellStart"/>
      <w:r w:rsidR="00B96941">
        <w:rPr>
          <w:rFonts w:asciiTheme="minorHAnsi" w:hAnsiTheme="minorHAnsi" w:cs="Arial"/>
          <w:bCs/>
          <w:sz w:val="20"/>
          <w:szCs w:val="20"/>
        </w:rPr>
        <w:t>cloud@customer</w:t>
      </w:r>
      <w:proofErr w:type="spellEnd"/>
      <w:r w:rsidR="00FD046A">
        <w:rPr>
          <w:rFonts w:asciiTheme="minorHAnsi" w:hAnsiTheme="minorHAnsi" w:cs="Arial"/>
          <w:bCs/>
          <w:sz w:val="20"/>
          <w:szCs w:val="20"/>
        </w:rPr>
        <w:t>”</w:t>
      </w:r>
      <w:bookmarkStart w:id="0" w:name="_GoBack"/>
      <w:bookmarkEnd w:id="0"/>
      <w:r w:rsidRPr="007F4C38">
        <w:rPr>
          <w:rFonts w:asciiTheme="minorHAnsi" w:hAnsiTheme="minorHAnsi" w:cs="Arial"/>
          <w:bCs/>
          <w:sz w:val="20"/>
          <w:szCs w:val="20"/>
        </w:rPr>
        <w:t>.</w:t>
      </w:r>
    </w:p>
    <w:p w14:paraId="522947AE" w14:textId="5ACD7393" w:rsidR="007F4C38" w:rsidRPr="007F4C38" w:rsidRDefault="007F4C38" w:rsidP="007F4C38">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6D4144B0" w14:textId="77777777" w:rsidTr="001A1F86">
        <w:trPr>
          <w:trHeight w:val="1824"/>
        </w:trPr>
        <w:tc>
          <w:tcPr>
            <w:tcW w:w="8494" w:type="dxa"/>
            <w:shd w:val="clear" w:color="auto" w:fill="F2F2F2" w:themeFill="background1" w:themeFillShade="F2"/>
          </w:tcPr>
          <w:p w14:paraId="38A00088" w14:textId="77777777" w:rsidR="007F4C38" w:rsidRDefault="007F4C38" w:rsidP="001A1F86">
            <w:pPr>
              <w:ind w:left="284"/>
              <w:jc w:val="both"/>
              <w:rPr>
                <w:rFonts w:asciiTheme="minorHAnsi" w:hAnsiTheme="minorHAnsi" w:cs="Arial"/>
                <w:bCs/>
                <w:sz w:val="20"/>
                <w:szCs w:val="20"/>
              </w:rPr>
            </w:pPr>
          </w:p>
        </w:tc>
      </w:tr>
    </w:tbl>
    <w:p w14:paraId="21D8154D" w14:textId="77777777" w:rsidR="007F4C38" w:rsidRDefault="007F4C38" w:rsidP="00BF13C1">
      <w:pPr>
        <w:spacing w:line="276" w:lineRule="auto"/>
        <w:ind w:left="284"/>
        <w:jc w:val="both"/>
        <w:rPr>
          <w:rFonts w:asciiTheme="minorHAnsi" w:hAnsiTheme="minorHAnsi" w:cs="Arial"/>
          <w:bCs/>
          <w:sz w:val="20"/>
          <w:szCs w:val="20"/>
        </w:rPr>
      </w:pPr>
    </w:p>
    <w:p w14:paraId="79B5E544" w14:textId="77777777" w:rsidR="007F4C38" w:rsidRDefault="007F4C38"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even" r:id="rId18"/>
      <w:headerReference w:type="default" r:id="rId19"/>
      <w:footerReference w:type="even" r:id="rId20"/>
      <w:footerReference w:type="default" r:id="rId21"/>
      <w:headerReference w:type="first" r:id="rId22"/>
      <w:footerReference w:type="first" r:id="rId2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79D0" w14:textId="77777777" w:rsidR="0092341A" w:rsidRDefault="0092341A">
      <w:r>
        <w:separator/>
      </w:r>
    </w:p>
  </w:endnote>
  <w:endnote w:type="continuationSeparator" w:id="0">
    <w:p w14:paraId="33B243A9" w14:textId="77777777" w:rsidR="0092341A" w:rsidRDefault="0092341A">
      <w:r>
        <w:continuationSeparator/>
      </w:r>
    </w:p>
  </w:endnote>
  <w:endnote w:type="continuationNotice" w:id="1">
    <w:p w14:paraId="518E694A" w14:textId="77777777" w:rsidR="0092341A" w:rsidRDefault="00923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5990" w14:textId="77777777" w:rsidR="002F733D" w:rsidRDefault="002F73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C13A1A" w:rsidRPr="00A96ABA" w:rsidRDefault="00C13A1A"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60967276" w:rsidR="00C13A1A" w:rsidRPr="00165877" w:rsidRDefault="00C13A1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C13A1A" w:rsidRDefault="00C13A1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60967276" w:rsidR="00C13A1A" w:rsidRPr="00165877" w:rsidRDefault="00C13A1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C13A1A" w:rsidRDefault="00C13A1A"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C13A1A" w:rsidRPr="00951110" w:rsidRDefault="00C13A1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C13A1A" w:rsidRPr="00933D1D" w:rsidRDefault="00C13A1A"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0DA60FFB" w:rsidR="00C13A1A" w:rsidRPr="00165877" w:rsidRDefault="00C13A1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82B3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C13A1A" w:rsidRDefault="00C13A1A"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0DA60FFB" w:rsidR="00C13A1A" w:rsidRPr="00165877" w:rsidRDefault="00C13A1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82B3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82B33">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C13A1A" w:rsidRDefault="00C13A1A"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C13A1A" w:rsidRDefault="00C13A1A"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C13A1A" w:rsidRPr="00933D1D" w:rsidRDefault="00C13A1A"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C13A1A" w:rsidRPr="00933D1D" w:rsidRDefault="00C13A1A"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C13A1A" w:rsidRPr="00933D1D" w:rsidRDefault="00C13A1A"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2E57" w14:textId="77777777" w:rsidR="0092341A" w:rsidRDefault="0092341A">
      <w:r>
        <w:separator/>
      </w:r>
    </w:p>
  </w:footnote>
  <w:footnote w:type="continuationSeparator" w:id="0">
    <w:p w14:paraId="622E5171" w14:textId="77777777" w:rsidR="0092341A" w:rsidRDefault="0092341A">
      <w:r>
        <w:continuationSeparator/>
      </w:r>
    </w:p>
  </w:footnote>
  <w:footnote w:type="continuationNotice" w:id="1">
    <w:p w14:paraId="1AA6A14A" w14:textId="77777777" w:rsidR="0092341A" w:rsidRDefault="009234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248D" w14:textId="77777777" w:rsidR="002F733D" w:rsidRDefault="002F73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C13A1A" w:rsidRDefault="00C13A1A"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C13A1A" w:rsidRDefault="00C13A1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FFFFFFFB"/>
    <w:multiLevelType w:val="multilevel"/>
    <w:tmpl w:val="2618D2B8"/>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794" w:hanging="794"/>
      </w:pPr>
      <w:rPr>
        <w:rFonts w:cs="Times New Roman" w:hint="default"/>
      </w:rPr>
    </w:lvl>
    <w:lvl w:ilvl="3">
      <w:start w:val="1"/>
      <w:numFmt w:val="decimal"/>
      <w:lvlText w:val="%1.%2.%3.%4"/>
      <w:lvlJc w:val="left"/>
      <w:pPr>
        <w:tabs>
          <w:tab w:val="num" w:pos="0"/>
        </w:tabs>
        <w:ind w:left="794" w:hanging="794"/>
      </w:pPr>
      <w:rPr>
        <w:rFonts w:cs="Times New Roman" w:hint="default"/>
      </w:rPr>
    </w:lvl>
    <w:lvl w:ilvl="4">
      <w:start w:val="1"/>
      <w:numFmt w:val="decimal"/>
      <w:lvlText w:val="%1.%2.%3.%4.%5"/>
      <w:lvlJc w:val="left"/>
      <w:pPr>
        <w:tabs>
          <w:tab w:val="num" w:pos="0"/>
        </w:tabs>
        <w:ind w:left="907" w:hanging="907"/>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15:restartNumberingAfterBreak="0">
    <w:nsid w:val="07270D67"/>
    <w:multiLevelType w:val="hybridMultilevel"/>
    <w:tmpl w:val="B762A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27BFC"/>
    <w:multiLevelType w:val="hybridMultilevel"/>
    <w:tmpl w:val="685E754A"/>
    <w:lvl w:ilvl="0" w:tplc="0410000F">
      <w:start w:val="1"/>
      <w:numFmt w:val="decimal"/>
      <w:lvlText w:val="%1."/>
      <w:lvlJc w:val="left"/>
      <w:pPr>
        <w:ind w:left="1514" w:hanging="360"/>
      </w:pPr>
    </w:lvl>
    <w:lvl w:ilvl="1" w:tplc="04100019">
      <w:start w:val="1"/>
      <w:numFmt w:val="lowerLetter"/>
      <w:lvlText w:val="%2."/>
      <w:lvlJc w:val="left"/>
      <w:pPr>
        <w:ind w:left="2234" w:hanging="360"/>
      </w:pPr>
    </w:lvl>
    <w:lvl w:ilvl="2" w:tplc="0410001B">
      <w:start w:val="1"/>
      <w:numFmt w:val="lowerRoman"/>
      <w:lvlText w:val="%3."/>
      <w:lvlJc w:val="right"/>
      <w:pPr>
        <w:ind w:left="2954" w:hanging="180"/>
      </w:pPr>
    </w:lvl>
    <w:lvl w:ilvl="3" w:tplc="0410000F">
      <w:start w:val="1"/>
      <w:numFmt w:val="decimal"/>
      <w:lvlText w:val="%4."/>
      <w:lvlJc w:val="left"/>
      <w:pPr>
        <w:ind w:left="3674" w:hanging="360"/>
      </w:pPr>
    </w:lvl>
    <w:lvl w:ilvl="4" w:tplc="04100019">
      <w:start w:val="1"/>
      <w:numFmt w:val="lowerLetter"/>
      <w:lvlText w:val="%5."/>
      <w:lvlJc w:val="left"/>
      <w:pPr>
        <w:ind w:left="4394" w:hanging="360"/>
      </w:pPr>
    </w:lvl>
    <w:lvl w:ilvl="5" w:tplc="0410001B">
      <w:start w:val="1"/>
      <w:numFmt w:val="lowerRoman"/>
      <w:lvlText w:val="%6."/>
      <w:lvlJc w:val="right"/>
      <w:pPr>
        <w:ind w:left="5114" w:hanging="180"/>
      </w:pPr>
    </w:lvl>
    <w:lvl w:ilvl="6" w:tplc="0410000F">
      <w:start w:val="1"/>
      <w:numFmt w:val="decimal"/>
      <w:lvlText w:val="%7."/>
      <w:lvlJc w:val="left"/>
      <w:pPr>
        <w:ind w:left="5834" w:hanging="360"/>
      </w:pPr>
    </w:lvl>
    <w:lvl w:ilvl="7" w:tplc="04100019">
      <w:start w:val="1"/>
      <w:numFmt w:val="lowerLetter"/>
      <w:lvlText w:val="%8."/>
      <w:lvlJc w:val="left"/>
      <w:pPr>
        <w:ind w:left="6554" w:hanging="360"/>
      </w:pPr>
    </w:lvl>
    <w:lvl w:ilvl="8" w:tplc="0410001B">
      <w:start w:val="1"/>
      <w:numFmt w:val="lowerRoman"/>
      <w:lvlText w:val="%9."/>
      <w:lvlJc w:val="right"/>
      <w:pPr>
        <w:ind w:left="7274" w:hanging="180"/>
      </w:pPr>
    </w:lvl>
  </w:abstractNum>
  <w:abstractNum w:abstractNumId="5" w15:restartNumberingAfterBreak="0">
    <w:nsid w:val="094850F9"/>
    <w:multiLevelType w:val="hybridMultilevel"/>
    <w:tmpl w:val="2AC05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F46FF"/>
    <w:multiLevelType w:val="hybridMultilevel"/>
    <w:tmpl w:val="DA326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D71A19"/>
    <w:multiLevelType w:val="hybridMultilevel"/>
    <w:tmpl w:val="2AFE9BE2"/>
    <w:lvl w:ilvl="0" w:tplc="103AE6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85774"/>
    <w:multiLevelType w:val="hybridMultilevel"/>
    <w:tmpl w:val="AE0C71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F1998"/>
    <w:multiLevelType w:val="multilevel"/>
    <w:tmpl w:val="C73E0FE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6C5EE4"/>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2B144C"/>
    <w:multiLevelType w:val="hybridMultilevel"/>
    <w:tmpl w:val="BDDEA758"/>
    <w:lvl w:ilvl="0" w:tplc="0D7CC3AE">
      <w:start w:val="1"/>
      <w:numFmt w:val="bullet"/>
      <w:lvlText w:val="–"/>
      <w:lvlJc w:val="left"/>
      <w:pPr>
        <w:ind w:left="1514" w:hanging="360"/>
      </w:pPr>
      <w:rPr>
        <w:rFonts w:ascii="Times New Roman" w:hAnsi="Times New Roman" w:cs="Times New Roman" w:hint="default"/>
        <w:color w:val="000000"/>
        <w:sz w:val="20"/>
        <w:szCs w:val="22"/>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2" w15:restartNumberingAfterBreak="0">
    <w:nsid w:val="232C0D05"/>
    <w:multiLevelType w:val="hybridMultilevel"/>
    <w:tmpl w:val="5B043A3E"/>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3" w15:restartNumberingAfterBreak="0">
    <w:nsid w:val="2F4A5B1C"/>
    <w:multiLevelType w:val="hybridMultilevel"/>
    <w:tmpl w:val="A0B25884"/>
    <w:lvl w:ilvl="0" w:tplc="CC1004B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3E64E77"/>
    <w:multiLevelType w:val="hybridMultilevel"/>
    <w:tmpl w:val="0058768A"/>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6" w15:restartNumberingAfterBreak="0">
    <w:nsid w:val="358A1B97"/>
    <w:multiLevelType w:val="hybridMultilevel"/>
    <w:tmpl w:val="4906B858"/>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440CE9"/>
    <w:multiLevelType w:val="hybridMultilevel"/>
    <w:tmpl w:val="CFA8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8CE6A50"/>
    <w:multiLevelType w:val="hybridMultilevel"/>
    <w:tmpl w:val="852C5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732422"/>
    <w:multiLevelType w:val="hybridMultilevel"/>
    <w:tmpl w:val="BBC2B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0C16B4"/>
    <w:multiLevelType w:val="hybridMultilevel"/>
    <w:tmpl w:val="35C2B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15F79"/>
    <w:multiLevelType w:val="hybridMultilevel"/>
    <w:tmpl w:val="C1F215BE"/>
    <w:lvl w:ilvl="0" w:tplc="DC7C10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20163FB"/>
    <w:multiLevelType w:val="multilevel"/>
    <w:tmpl w:val="AD66A4F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9B2DB7"/>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27" w15:restartNumberingAfterBreak="0">
    <w:nsid w:val="4AA016DB"/>
    <w:multiLevelType w:val="multilevel"/>
    <w:tmpl w:val="04081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FF5DC0"/>
    <w:multiLevelType w:val="hybridMultilevel"/>
    <w:tmpl w:val="63DED87E"/>
    <w:lvl w:ilvl="0" w:tplc="E4D44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60E25"/>
    <w:multiLevelType w:val="hybridMultilevel"/>
    <w:tmpl w:val="97669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4F2BF1"/>
    <w:multiLevelType w:val="hybridMultilevel"/>
    <w:tmpl w:val="123A922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1" w15:restartNumberingAfterBreak="0">
    <w:nsid w:val="60AF6698"/>
    <w:multiLevelType w:val="hybridMultilevel"/>
    <w:tmpl w:val="353816F6"/>
    <w:lvl w:ilvl="0" w:tplc="AB1A709C">
      <w:start w:val="1"/>
      <w:numFmt w:val="lowerLetter"/>
      <w:lvlText w:val="%1)"/>
      <w:lvlJc w:val="left"/>
      <w:pPr>
        <w:ind w:left="704" w:hanging="420"/>
      </w:pPr>
      <w:rPr>
        <w:rFonts w:ascii="Calibri" w:hAnsi="Calibri"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63A878DB"/>
    <w:multiLevelType w:val="hybridMultilevel"/>
    <w:tmpl w:val="4A948B06"/>
    <w:lvl w:ilvl="0" w:tplc="DC7C10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97033"/>
    <w:multiLevelType w:val="hybridMultilevel"/>
    <w:tmpl w:val="3CFE4FCA"/>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35176"/>
    <w:multiLevelType w:val="multilevel"/>
    <w:tmpl w:val="CC0ED4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BE0657"/>
    <w:multiLevelType w:val="hybridMultilevel"/>
    <w:tmpl w:val="EBF6D18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7"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5837963"/>
    <w:multiLevelType w:val="hybridMultilevel"/>
    <w:tmpl w:val="0DB09E92"/>
    <w:lvl w:ilvl="0" w:tplc="61D6C31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094C0B"/>
    <w:multiLevelType w:val="hybridMultilevel"/>
    <w:tmpl w:val="220C8B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8F5A9E"/>
    <w:multiLevelType w:val="hybridMultilevel"/>
    <w:tmpl w:val="66820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2F148A"/>
    <w:multiLevelType w:val="hybridMultilevel"/>
    <w:tmpl w:val="5CBAE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3"/>
  </w:num>
  <w:num w:numId="4">
    <w:abstractNumId w:val="18"/>
  </w:num>
  <w:num w:numId="5">
    <w:abstractNumId w:val="0"/>
  </w:num>
  <w:num w:numId="6">
    <w:abstractNumId w:val="31"/>
  </w:num>
  <w:num w:numId="7">
    <w:abstractNumId w:val="21"/>
  </w:num>
  <w:num w:numId="8">
    <w:abstractNumId w:val="34"/>
  </w:num>
  <w:num w:numId="9">
    <w:abstractNumId w:val="28"/>
  </w:num>
  <w:num w:numId="10">
    <w:abstractNumId w:val="37"/>
  </w:num>
  <w:num w:numId="11">
    <w:abstractNumId w:val="15"/>
  </w:num>
  <w:num w:numId="12">
    <w:abstractNumId w:val="12"/>
  </w:num>
  <w:num w:numId="13">
    <w:abstractNumId w:val="30"/>
  </w:num>
  <w:num w:numId="14">
    <w:abstractNumId w:val="3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16"/>
  </w:num>
  <w:num w:numId="20">
    <w:abstractNumId w:val="25"/>
  </w:num>
  <w:num w:numId="21">
    <w:abstractNumId w:val="10"/>
  </w:num>
  <w:num w:numId="22">
    <w:abstractNumId w:val="35"/>
  </w:num>
  <w:num w:numId="23">
    <w:abstractNumId w:val="24"/>
  </w:num>
  <w:num w:numId="24">
    <w:abstractNumId w:val="2"/>
  </w:num>
  <w:num w:numId="25">
    <w:abstractNumId w:val="11"/>
  </w:num>
  <w:num w:numId="26">
    <w:abstractNumId w:val="9"/>
  </w:num>
  <w:num w:numId="27">
    <w:abstractNumId w:val="7"/>
  </w:num>
  <w:num w:numId="28">
    <w:abstractNumId w:val="17"/>
  </w:num>
  <w:num w:numId="29">
    <w:abstractNumId w:val="27"/>
  </w:num>
  <w:num w:numId="30">
    <w:abstractNumId w:val="40"/>
  </w:num>
  <w:num w:numId="31">
    <w:abstractNumId w:val="29"/>
  </w:num>
  <w:num w:numId="32">
    <w:abstractNumId w:val="19"/>
  </w:num>
  <w:num w:numId="33">
    <w:abstractNumId w:val="3"/>
  </w:num>
  <w:num w:numId="34">
    <w:abstractNumId w:val="41"/>
  </w:num>
  <w:num w:numId="35">
    <w:abstractNumId w:val="6"/>
  </w:num>
  <w:num w:numId="36">
    <w:abstractNumId w:val="20"/>
  </w:num>
  <w:num w:numId="37">
    <w:abstractNumId w:val="13"/>
  </w:num>
  <w:num w:numId="38">
    <w:abstractNumId w:val="5"/>
  </w:num>
  <w:num w:numId="39">
    <w:abstractNumId w:val="32"/>
  </w:num>
  <w:num w:numId="40">
    <w:abstractNumId w:val="22"/>
  </w:num>
  <w:num w:numId="41">
    <w:abstractNumId w:val="14"/>
  </w:num>
  <w:num w:numId="42">
    <w:abstractNumId w:val="8"/>
  </w:num>
  <w:num w:numId="43">
    <w:abstractNumId w:val="38"/>
  </w:num>
  <w:num w:numId="4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ABA"/>
    <w:rsid w:val="00004C33"/>
    <w:rsid w:val="000050B1"/>
    <w:rsid w:val="000121D9"/>
    <w:rsid w:val="000143EA"/>
    <w:rsid w:val="00017FA6"/>
    <w:rsid w:val="0002009C"/>
    <w:rsid w:val="00022FBC"/>
    <w:rsid w:val="000239D9"/>
    <w:rsid w:val="0002469D"/>
    <w:rsid w:val="00026872"/>
    <w:rsid w:val="00026A4B"/>
    <w:rsid w:val="00030289"/>
    <w:rsid w:val="00033222"/>
    <w:rsid w:val="00035CB1"/>
    <w:rsid w:val="000439DC"/>
    <w:rsid w:val="00054B2E"/>
    <w:rsid w:val="00055489"/>
    <w:rsid w:val="0005671F"/>
    <w:rsid w:val="00057B86"/>
    <w:rsid w:val="00064646"/>
    <w:rsid w:val="00065EC1"/>
    <w:rsid w:val="00066504"/>
    <w:rsid w:val="00067108"/>
    <w:rsid w:val="000676A8"/>
    <w:rsid w:val="00067B36"/>
    <w:rsid w:val="00071F55"/>
    <w:rsid w:val="000726A6"/>
    <w:rsid w:val="000748A9"/>
    <w:rsid w:val="00077EE7"/>
    <w:rsid w:val="0008288C"/>
    <w:rsid w:val="00083AE8"/>
    <w:rsid w:val="00085A8B"/>
    <w:rsid w:val="00086A6F"/>
    <w:rsid w:val="00093A7B"/>
    <w:rsid w:val="0009504B"/>
    <w:rsid w:val="00097A66"/>
    <w:rsid w:val="000A0D2E"/>
    <w:rsid w:val="000A3344"/>
    <w:rsid w:val="000A5DDF"/>
    <w:rsid w:val="000A6761"/>
    <w:rsid w:val="000A7DEE"/>
    <w:rsid w:val="000B40D4"/>
    <w:rsid w:val="000C09E3"/>
    <w:rsid w:val="000C48D2"/>
    <w:rsid w:val="000C515C"/>
    <w:rsid w:val="000D088B"/>
    <w:rsid w:val="000D6444"/>
    <w:rsid w:val="000E7ACC"/>
    <w:rsid w:val="000F0E1A"/>
    <w:rsid w:val="000F3AA2"/>
    <w:rsid w:val="000F3F55"/>
    <w:rsid w:val="000F493B"/>
    <w:rsid w:val="000F5BA1"/>
    <w:rsid w:val="00101F06"/>
    <w:rsid w:val="00113489"/>
    <w:rsid w:val="001142B8"/>
    <w:rsid w:val="001160B4"/>
    <w:rsid w:val="001169E1"/>
    <w:rsid w:val="00117770"/>
    <w:rsid w:val="0012009A"/>
    <w:rsid w:val="00120D66"/>
    <w:rsid w:val="00121DA5"/>
    <w:rsid w:val="00122B75"/>
    <w:rsid w:val="00123EB1"/>
    <w:rsid w:val="00124B4E"/>
    <w:rsid w:val="00126D2A"/>
    <w:rsid w:val="00132D95"/>
    <w:rsid w:val="001352B8"/>
    <w:rsid w:val="001406AE"/>
    <w:rsid w:val="00143A08"/>
    <w:rsid w:val="00143B1A"/>
    <w:rsid w:val="00143C5D"/>
    <w:rsid w:val="0014590B"/>
    <w:rsid w:val="0014734F"/>
    <w:rsid w:val="00147E56"/>
    <w:rsid w:val="00163F7A"/>
    <w:rsid w:val="00165213"/>
    <w:rsid w:val="00165527"/>
    <w:rsid w:val="001673A0"/>
    <w:rsid w:val="00170074"/>
    <w:rsid w:val="00173486"/>
    <w:rsid w:val="00174E83"/>
    <w:rsid w:val="00177E9E"/>
    <w:rsid w:val="00181AD4"/>
    <w:rsid w:val="001843B1"/>
    <w:rsid w:val="001969CB"/>
    <w:rsid w:val="001A15BE"/>
    <w:rsid w:val="001A1D73"/>
    <w:rsid w:val="001A1F86"/>
    <w:rsid w:val="001B564D"/>
    <w:rsid w:val="001B6B10"/>
    <w:rsid w:val="001B74F2"/>
    <w:rsid w:val="001C0525"/>
    <w:rsid w:val="001C1BC9"/>
    <w:rsid w:val="001C2B72"/>
    <w:rsid w:val="001C364C"/>
    <w:rsid w:val="001C4982"/>
    <w:rsid w:val="001C5A4A"/>
    <w:rsid w:val="001C5FE4"/>
    <w:rsid w:val="001C7B42"/>
    <w:rsid w:val="001D2966"/>
    <w:rsid w:val="001D43CF"/>
    <w:rsid w:val="001E204E"/>
    <w:rsid w:val="001E636D"/>
    <w:rsid w:val="001E773D"/>
    <w:rsid w:val="001F1951"/>
    <w:rsid w:val="001F33CB"/>
    <w:rsid w:val="001F6443"/>
    <w:rsid w:val="00202150"/>
    <w:rsid w:val="00202371"/>
    <w:rsid w:val="00205A46"/>
    <w:rsid w:val="002067E2"/>
    <w:rsid w:val="00216AC3"/>
    <w:rsid w:val="002242D2"/>
    <w:rsid w:val="00225B7D"/>
    <w:rsid w:val="00227E5B"/>
    <w:rsid w:val="0023277F"/>
    <w:rsid w:val="00245A38"/>
    <w:rsid w:val="002525BB"/>
    <w:rsid w:val="00252F98"/>
    <w:rsid w:val="0027009F"/>
    <w:rsid w:val="00272224"/>
    <w:rsid w:val="00280301"/>
    <w:rsid w:val="00281B63"/>
    <w:rsid w:val="0028360E"/>
    <w:rsid w:val="00287AFA"/>
    <w:rsid w:val="00290988"/>
    <w:rsid w:val="002943C5"/>
    <w:rsid w:val="00295C14"/>
    <w:rsid w:val="00295FCD"/>
    <w:rsid w:val="0029640E"/>
    <w:rsid w:val="00297450"/>
    <w:rsid w:val="002A524A"/>
    <w:rsid w:val="002A5807"/>
    <w:rsid w:val="002A5E03"/>
    <w:rsid w:val="002A7071"/>
    <w:rsid w:val="002A7BAC"/>
    <w:rsid w:val="002A7C82"/>
    <w:rsid w:val="002B431A"/>
    <w:rsid w:val="002B7ED1"/>
    <w:rsid w:val="002C2E73"/>
    <w:rsid w:val="002C32BC"/>
    <w:rsid w:val="002C4307"/>
    <w:rsid w:val="002D3154"/>
    <w:rsid w:val="002D60F8"/>
    <w:rsid w:val="002E5B4B"/>
    <w:rsid w:val="002E5D73"/>
    <w:rsid w:val="002E61F2"/>
    <w:rsid w:val="002F4A94"/>
    <w:rsid w:val="002F52FE"/>
    <w:rsid w:val="002F720D"/>
    <w:rsid w:val="002F733D"/>
    <w:rsid w:val="002F7AC1"/>
    <w:rsid w:val="0030324C"/>
    <w:rsid w:val="00303875"/>
    <w:rsid w:val="0030431C"/>
    <w:rsid w:val="0030743D"/>
    <w:rsid w:val="003115E6"/>
    <w:rsid w:val="00312215"/>
    <w:rsid w:val="00314BEE"/>
    <w:rsid w:val="003177FC"/>
    <w:rsid w:val="00320460"/>
    <w:rsid w:val="0032069C"/>
    <w:rsid w:val="00327C1D"/>
    <w:rsid w:val="00332D55"/>
    <w:rsid w:val="00340136"/>
    <w:rsid w:val="00340854"/>
    <w:rsid w:val="003447F2"/>
    <w:rsid w:val="00352242"/>
    <w:rsid w:val="003536C1"/>
    <w:rsid w:val="00354B5A"/>
    <w:rsid w:val="00356069"/>
    <w:rsid w:val="003563F2"/>
    <w:rsid w:val="00356916"/>
    <w:rsid w:val="0036261E"/>
    <w:rsid w:val="00363F42"/>
    <w:rsid w:val="003720B5"/>
    <w:rsid w:val="003746CA"/>
    <w:rsid w:val="003803CE"/>
    <w:rsid w:val="00380CA9"/>
    <w:rsid w:val="003836B3"/>
    <w:rsid w:val="00383ED7"/>
    <w:rsid w:val="00386CF4"/>
    <w:rsid w:val="00386E23"/>
    <w:rsid w:val="00390DA8"/>
    <w:rsid w:val="00392E5B"/>
    <w:rsid w:val="00397F79"/>
    <w:rsid w:val="003A32F7"/>
    <w:rsid w:val="003B01DB"/>
    <w:rsid w:val="003B7A4D"/>
    <w:rsid w:val="003C1967"/>
    <w:rsid w:val="003C1AFA"/>
    <w:rsid w:val="003D4127"/>
    <w:rsid w:val="003E0651"/>
    <w:rsid w:val="003E4A65"/>
    <w:rsid w:val="003F2A77"/>
    <w:rsid w:val="003F30D7"/>
    <w:rsid w:val="00400345"/>
    <w:rsid w:val="00402AEE"/>
    <w:rsid w:val="00403933"/>
    <w:rsid w:val="00404316"/>
    <w:rsid w:val="00407746"/>
    <w:rsid w:val="00411E26"/>
    <w:rsid w:val="004130CF"/>
    <w:rsid w:val="00414DA3"/>
    <w:rsid w:val="00417549"/>
    <w:rsid w:val="00425CAA"/>
    <w:rsid w:val="0042769A"/>
    <w:rsid w:val="00436747"/>
    <w:rsid w:val="0044677C"/>
    <w:rsid w:val="00451888"/>
    <w:rsid w:val="004550EB"/>
    <w:rsid w:val="00461FFB"/>
    <w:rsid w:val="0046597F"/>
    <w:rsid w:val="00465FF3"/>
    <w:rsid w:val="00466099"/>
    <w:rsid w:val="00467FAD"/>
    <w:rsid w:val="00471495"/>
    <w:rsid w:val="00471CD6"/>
    <w:rsid w:val="00474B14"/>
    <w:rsid w:val="00476BF9"/>
    <w:rsid w:val="00485049"/>
    <w:rsid w:val="004922F1"/>
    <w:rsid w:val="004928A4"/>
    <w:rsid w:val="004928F5"/>
    <w:rsid w:val="004A05C2"/>
    <w:rsid w:val="004A4EB1"/>
    <w:rsid w:val="004B2AD1"/>
    <w:rsid w:val="004B56CD"/>
    <w:rsid w:val="004B774B"/>
    <w:rsid w:val="004B7A86"/>
    <w:rsid w:val="004C0198"/>
    <w:rsid w:val="004C0AB1"/>
    <w:rsid w:val="004C0F2B"/>
    <w:rsid w:val="004C2D84"/>
    <w:rsid w:val="004D0D57"/>
    <w:rsid w:val="004D0DBA"/>
    <w:rsid w:val="004D44B2"/>
    <w:rsid w:val="004D6B1D"/>
    <w:rsid w:val="004E0E78"/>
    <w:rsid w:val="004E18C2"/>
    <w:rsid w:val="004E22B2"/>
    <w:rsid w:val="004F0C27"/>
    <w:rsid w:val="004F2026"/>
    <w:rsid w:val="004F2482"/>
    <w:rsid w:val="004F73E8"/>
    <w:rsid w:val="00501522"/>
    <w:rsid w:val="005026ED"/>
    <w:rsid w:val="00505B03"/>
    <w:rsid w:val="0051129F"/>
    <w:rsid w:val="0051181E"/>
    <w:rsid w:val="00521C42"/>
    <w:rsid w:val="00526064"/>
    <w:rsid w:val="00526D6A"/>
    <w:rsid w:val="00527B71"/>
    <w:rsid w:val="00533FE0"/>
    <w:rsid w:val="00542D14"/>
    <w:rsid w:val="00547DFA"/>
    <w:rsid w:val="00552240"/>
    <w:rsid w:val="005539BB"/>
    <w:rsid w:val="00556F2F"/>
    <w:rsid w:val="00557FCE"/>
    <w:rsid w:val="00561A7D"/>
    <w:rsid w:val="00562496"/>
    <w:rsid w:val="00571B75"/>
    <w:rsid w:val="00573E32"/>
    <w:rsid w:val="0058091A"/>
    <w:rsid w:val="005858C6"/>
    <w:rsid w:val="00585ECE"/>
    <w:rsid w:val="00590AF7"/>
    <w:rsid w:val="00594E9C"/>
    <w:rsid w:val="005A01AE"/>
    <w:rsid w:val="005A0E20"/>
    <w:rsid w:val="005A258D"/>
    <w:rsid w:val="005A3807"/>
    <w:rsid w:val="005A3D31"/>
    <w:rsid w:val="005A43F5"/>
    <w:rsid w:val="005B0A84"/>
    <w:rsid w:val="005B1A68"/>
    <w:rsid w:val="005C09EF"/>
    <w:rsid w:val="005C1A77"/>
    <w:rsid w:val="005D07D7"/>
    <w:rsid w:val="005D4ED2"/>
    <w:rsid w:val="005D6026"/>
    <w:rsid w:val="005D77D5"/>
    <w:rsid w:val="005E0951"/>
    <w:rsid w:val="005E0D8C"/>
    <w:rsid w:val="005E15BE"/>
    <w:rsid w:val="005E5464"/>
    <w:rsid w:val="005F0AF9"/>
    <w:rsid w:val="005F0EBA"/>
    <w:rsid w:val="005F1B6C"/>
    <w:rsid w:val="005F6770"/>
    <w:rsid w:val="0060201C"/>
    <w:rsid w:val="00611E79"/>
    <w:rsid w:val="00616051"/>
    <w:rsid w:val="00624A3F"/>
    <w:rsid w:val="006269C8"/>
    <w:rsid w:val="00631B89"/>
    <w:rsid w:val="00631BF2"/>
    <w:rsid w:val="0063576C"/>
    <w:rsid w:val="00636EDC"/>
    <w:rsid w:val="006443E4"/>
    <w:rsid w:val="006451E2"/>
    <w:rsid w:val="006474D5"/>
    <w:rsid w:val="00647A9D"/>
    <w:rsid w:val="0065219B"/>
    <w:rsid w:val="006561B7"/>
    <w:rsid w:val="006570E0"/>
    <w:rsid w:val="00657C63"/>
    <w:rsid w:val="00664873"/>
    <w:rsid w:val="00665434"/>
    <w:rsid w:val="00666063"/>
    <w:rsid w:val="00666DB1"/>
    <w:rsid w:val="006672C7"/>
    <w:rsid w:val="006705D1"/>
    <w:rsid w:val="00671987"/>
    <w:rsid w:val="0067215C"/>
    <w:rsid w:val="00675316"/>
    <w:rsid w:val="00692510"/>
    <w:rsid w:val="00695EB4"/>
    <w:rsid w:val="006A051A"/>
    <w:rsid w:val="006C3089"/>
    <w:rsid w:val="006C6158"/>
    <w:rsid w:val="006D18B1"/>
    <w:rsid w:val="006D1DAB"/>
    <w:rsid w:val="006D5F69"/>
    <w:rsid w:val="006E0A39"/>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14F0"/>
    <w:rsid w:val="0074312D"/>
    <w:rsid w:val="007458B2"/>
    <w:rsid w:val="00747F94"/>
    <w:rsid w:val="007526C6"/>
    <w:rsid w:val="0075303D"/>
    <w:rsid w:val="00755607"/>
    <w:rsid w:val="00760313"/>
    <w:rsid w:val="007649FE"/>
    <w:rsid w:val="00765760"/>
    <w:rsid w:val="007676A3"/>
    <w:rsid w:val="007717FD"/>
    <w:rsid w:val="00773380"/>
    <w:rsid w:val="00773D82"/>
    <w:rsid w:val="007760D0"/>
    <w:rsid w:val="00783B1F"/>
    <w:rsid w:val="007919E1"/>
    <w:rsid w:val="00794955"/>
    <w:rsid w:val="007A144B"/>
    <w:rsid w:val="007A2DA8"/>
    <w:rsid w:val="007A725C"/>
    <w:rsid w:val="007B1C22"/>
    <w:rsid w:val="007B5F2D"/>
    <w:rsid w:val="007C0436"/>
    <w:rsid w:val="007C4CA7"/>
    <w:rsid w:val="007C5E1F"/>
    <w:rsid w:val="007D216F"/>
    <w:rsid w:val="007D3020"/>
    <w:rsid w:val="007D612C"/>
    <w:rsid w:val="007D78EA"/>
    <w:rsid w:val="007D792D"/>
    <w:rsid w:val="007E255A"/>
    <w:rsid w:val="007E33B3"/>
    <w:rsid w:val="007E3DA0"/>
    <w:rsid w:val="007E453D"/>
    <w:rsid w:val="007F4A2C"/>
    <w:rsid w:val="007F4C38"/>
    <w:rsid w:val="007F6FD5"/>
    <w:rsid w:val="007F73DA"/>
    <w:rsid w:val="008037FD"/>
    <w:rsid w:val="00804097"/>
    <w:rsid w:val="008042D0"/>
    <w:rsid w:val="00806A6E"/>
    <w:rsid w:val="008119CA"/>
    <w:rsid w:val="00812B86"/>
    <w:rsid w:val="00812DA1"/>
    <w:rsid w:val="00817769"/>
    <w:rsid w:val="00822029"/>
    <w:rsid w:val="0082430D"/>
    <w:rsid w:val="00827C3B"/>
    <w:rsid w:val="0083009E"/>
    <w:rsid w:val="008313DE"/>
    <w:rsid w:val="00832598"/>
    <w:rsid w:val="008330A1"/>
    <w:rsid w:val="00843339"/>
    <w:rsid w:val="008442AC"/>
    <w:rsid w:val="00844956"/>
    <w:rsid w:val="008449F2"/>
    <w:rsid w:val="00845CFF"/>
    <w:rsid w:val="00850EFD"/>
    <w:rsid w:val="008556E2"/>
    <w:rsid w:val="00861A86"/>
    <w:rsid w:val="00863217"/>
    <w:rsid w:val="00865312"/>
    <w:rsid w:val="00865348"/>
    <w:rsid w:val="00865673"/>
    <w:rsid w:val="00867FD8"/>
    <w:rsid w:val="008700DA"/>
    <w:rsid w:val="0087124F"/>
    <w:rsid w:val="00871D33"/>
    <w:rsid w:val="008767A5"/>
    <w:rsid w:val="00880708"/>
    <w:rsid w:val="00880B14"/>
    <w:rsid w:val="00881532"/>
    <w:rsid w:val="0088269B"/>
    <w:rsid w:val="008834DB"/>
    <w:rsid w:val="00884A9D"/>
    <w:rsid w:val="00884E68"/>
    <w:rsid w:val="0088666C"/>
    <w:rsid w:val="0088783D"/>
    <w:rsid w:val="00894DC5"/>
    <w:rsid w:val="008A0762"/>
    <w:rsid w:val="008A40B2"/>
    <w:rsid w:val="008A6BE4"/>
    <w:rsid w:val="008B4D88"/>
    <w:rsid w:val="008C4B68"/>
    <w:rsid w:val="008C5EC3"/>
    <w:rsid w:val="008C6868"/>
    <w:rsid w:val="008D0FCC"/>
    <w:rsid w:val="008D3193"/>
    <w:rsid w:val="008D7761"/>
    <w:rsid w:val="008E130A"/>
    <w:rsid w:val="008E1CC2"/>
    <w:rsid w:val="008E2C98"/>
    <w:rsid w:val="008E398F"/>
    <w:rsid w:val="008E5C3F"/>
    <w:rsid w:val="008F1D2E"/>
    <w:rsid w:val="008F2F26"/>
    <w:rsid w:val="008F4C81"/>
    <w:rsid w:val="008F56AA"/>
    <w:rsid w:val="008F76B9"/>
    <w:rsid w:val="0090136E"/>
    <w:rsid w:val="009017A3"/>
    <w:rsid w:val="009033A7"/>
    <w:rsid w:val="00903A05"/>
    <w:rsid w:val="009045E4"/>
    <w:rsid w:val="009057EA"/>
    <w:rsid w:val="009222DB"/>
    <w:rsid w:val="0092341A"/>
    <w:rsid w:val="0092729E"/>
    <w:rsid w:val="00930E10"/>
    <w:rsid w:val="009335E0"/>
    <w:rsid w:val="00933D1D"/>
    <w:rsid w:val="00933FFF"/>
    <w:rsid w:val="00934CBF"/>
    <w:rsid w:val="00940C71"/>
    <w:rsid w:val="00943C7F"/>
    <w:rsid w:val="0094467A"/>
    <w:rsid w:val="00951110"/>
    <w:rsid w:val="00952F86"/>
    <w:rsid w:val="00953399"/>
    <w:rsid w:val="00955FB5"/>
    <w:rsid w:val="009615FF"/>
    <w:rsid w:val="009677FD"/>
    <w:rsid w:val="00985C47"/>
    <w:rsid w:val="00985FD2"/>
    <w:rsid w:val="00986F3A"/>
    <w:rsid w:val="00991CA4"/>
    <w:rsid w:val="009B0ED5"/>
    <w:rsid w:val="009B4DEC"/>
    <w:rsid w:val="009C037A"/>
    <w:rsid w:val="009C054D"/>
    <w:rsid w:val="009C1D3E"/>
    <w:rsid w:val="009C3270"/>
    <w:rsid w:val="009C537F"/>
    <w:rsid w:val="009C6171"/>
    <w:rsid w:val="009D4460"/>
    <w:rsid w:val="009D5874"/>
    <w:rsid w:val="009D60A9"/>
    <w:rsid w:val="009E4512"/>
    <w:rsid w:val="009E6B94"/>
    <w:rsid w:val="009F5155"/>
    <w:rsid w:val="009F5A5B"/>
    <w:rsid w:val="00A10220"/>
    <w:rsid w:val="00A107C0"/>
    <w:rsid w:val="00A143BD"/>
    <w:rsid w:val="00A158F4"/>
    <w:rsid w:val="00A1686E"/>
    <w:rsid w:val="00A222B7"/>
    <w:rsid w:val="00A25B79"/>
    <w:rsid w:val="00A30AD8"/>
    <w:rsid w:val="00A3585C"/>
    <w:rsid w:val="00A377DE"/>
    <w:rsid w:val="00A4017B"/>
    <w:rsid w:val="00A47703"/>
    <w:rsid w:val="00A562D5"/>
    <w:rsid w:val="00A57589"/>
    <w:rsid w:val="00A63698"/>
    <w:rsid w:val="00A64A40"/>
    <w:rsid w:val="00A73A03"/>
    <w:rsid w:val="00A73E51"/>
    <w:rsid w:val="00A7599F"/>
    <w:rsid w:val="00A82D2A"/>
    <w:rsid w:val="00A85025"/>
    <w:rsid w:val="00A86554"/>
    <w:rsid w:val="00A90958"/>
    <w:rsid w:val="00A93962"/>
    <w:rsid w:val="00A963C8"/>
    <w:rsid w:val="00A96A0E"/>
    <w:rsid w:val="00A96ABA"/>
    <w:rsid w:val="00AA0F10"/>
    <w:rsid w:val="00AB459D"/>
    <w:rsid w:val="00AC004C"/>
    <w:rsid w:val="00AC122A"/>
    <w:rsid w:val="00AC170B"/>
    <w:rsid w:val="00AC7679"/>
    <w:rsid w:val="00AD2273"/>
    <w:rsid w:val="00AD534A"/>
    <w:rsid w:val="00AE6881"/>
    <w:rsid w:val="00AF7F35"/>
    <w:rsid w:val="00B001EE"/>
    <w:rsid w:val="00B02EBA"/>
    <w:rsid w:val="00B108B0"/>
    <w:rsid w:val="00B1421D"/>
    <w:rsid w:val="00B14D62"/>
    <w:rsid w:val="00B177A2"/>
    <w:rsid w:val="00B17D94"/>
    <w:rsid w:val="00B22D03"/>
    <w:rsid w:val="00B308F4"/>
    <w:rsid w:val="00B35055"/>
    <w:rsid w:val="00B3679D"/>
    <w:rsid w:val="00B42D67"/>
    <w:rsid w:val="00B4336E"/>
    <w:rsid w:val="00B4481F"/>
    <w:rsid w:val="00B53E7E"/>
    <w:rsid w:val="00B54E96"/>
    <w:rsid w:val="00B60155"/>
    <w:rsid w:val="00B60D95"/>
    <w:rsid w:val="00B63A76"/>
    <w:rsid w:val="00B64176"/>
    <w:rsid w:val="00B6451A"/>
    <w:rsid w:val="00B64E33"/>
    <w:rsid w:val="00B718CF"/>
    <w:rsid w:val="00B76D97"/>
    <w:rsid w:val="00B81149"/>
    <w:rsid w:val="00B8388F"/>
    <w:rsid w:val="00B86025"/>
    <w:rsid w:val="00B92964"/>
    <w:rsid w:val="00B957A4"/>
    <w:rsid w:val="00B96941"/>
    <w:rsid w:val="00B97233"/>
    <w:rsid w:val="00BA1E6E"/>
    <w:rsid w:val="00BA2E23"/>
    <w:rsid w:val="00BA3E35"/>
    <w:rsid w:val="00BB3432"/>
    <w:rsid w:val="00BB3CC6"/>
    <w:rsid w:val="00BB3D28"/>
    <w:rsid w:val="00BB4433"/>
    <w:rsid w:val="00BC1A12"/>
    <w:rsid w:val="00BC2589"/>
    <w:rsid w:val="00BD3DAD"/>
    <w:rsid w:val="00BD4952"/>
    <w:rsid w:val="00BD50EC"/>
    <w:rsid w:val="00BE19B5"/>
    <w:rsid w:val="00BE2716"/>
    <w:rsid w:val="00BF13C1"/>
    <w:rsid w:val="00BF19FA"/>
    <w:rsid w:val="00BF1E03"/>
    <w:rsid w:val="00BF387E"/>
    <w:rsid w:val="00BF6104"/>
    <w:rsid w:val="00BF708A"/>
    <w:rsid w:val="00C00FB8"/>
    <w:rsid w:val="00C01685"/>
    <w:rsid w:val="00C044D3"/>
    <w:rsid w:val="00C1027F"/>
    <w:rsid w:val="00C13A1A"/>
    <w:rsid w:val="00C142F5"/>
    <w:rsid w:val="00C16C8D"/>
    <w:rsid w:val="00C17743"/>
    <w:rsid w:val="00C222B8"/>
    <w:rsid w:val="00C27194"/>
    <w:rsid w:val="00C31B4B"/>
    <w:rsid w:val="00C3353D"/>
    <w:rsid w:val="00C335B1"/>
    <w:rsid w:val="00C36918"/>
    <w:rsid w:val="00C44DD5"/>
    <w:rsid w:val="00C4605A"/>
    <w:rsid w:val="00C46FAB"/>
    <w:rsid w:val="00C50E4D"/>
    <w:rsid w:val="00C52DBD"/>
    <w:rsid w:val="00C539D2"/>
    <w:rsid w:val="00C567CE"/>
    <w:rsid w:val="00C6063C"/>
    <w:rsid w:val="00C6587D"/>
    <w:rsid w:val="00C65DD1"/>
    <w:rsid w:val="00C67C2E"/>
    <w:rsid w:val="00C734D3"/>
    <w:rsid w:val="00C740EA"/>
    <w:rsid w:val="00C77662"/>
    <w:rsid w:val="00C77BDF"/>
    <w:rsid w:val="00C84163"/>
    <w:rsid w:val="00C842BF"/>
    <w:rsid w:val="00C87109"/>
    <w:rsid w:val="00C920CC"/>
    <w:rsid w:val="00C93FFD"/>
    <w:rsid w:val="00C940BA"/>
    <w:rsid w:val="00C944D1"/>
    <w:rsid w:val="00C96107"/>
    <w:rsid w:val="00CA07FE"/>
    <w:rsid w:val="00CA4097"/>
    <w:rsid w:val="00CB75C7"/>
    <w:rsid w:val="00CC01F1"/>
    <w:rsid w:val="00CC1C2B"/>
    <w:rsid w:val="00CC1D95"/>
    <w:rsid w:val="00CC52B7"/>
    <w:rsid w:val="00CC7D0B"/>
    <w:rsid w:val="00CD5703"/>
    <w:rsid w:val="00CD5A8C"/>
    <w:rsid w:val="00CD72AC"/>
    <w:rsid w:val="00CE01CE"/>
    <w:rsid w:val="00CE1696"/>
    <w:rsid w:val="00CE2E7B"/>
    <w:rsid w:val="00CE5979"/>
    <w:rsid w:val="00CE5CCA"/>
    <w:rsid w:val="00CE6CA9"/>
    <w:rsid w:val="00CE72E2"/>
    <w:rsid w:val="00CF3D07"/>
    <w:rsid w:val="00CF5B3C"/>
    <w:rsid w:val="00D0025C"/>
    <w:rsid w:val="00D01811"/>
    <w:rsid w:val="00D023A5"/>
    <w:rsid w:val="00D10E07"/>
    <w:rsid w:val="00D16A59"/>
    <w:rsid w:val="00D23717"/>
    <w:rsid w:val="00D24430"/>
    <w:rsid w:val="00D2474C"/>
    <w:rsid w:val="00D40930"/>
    <w:rsid w:val="00D41242"/>
    <w:rsid w:val="00D4198A"/>
    <w:rsid w:val="00D43518"/>
    <w:rsid w:val="00D46602"/>
    <w:rsid w:val="00D47394"/>
    <w:rsid w:val="00D51DD6"/>
    <w:rsid w:val="00D56EE3"/>
    <w:rsid w:val="00D578EC"/>
    <w:rsid w:val="00D57E61"/>
    <w:rsid w:val="00D62EA9"/>
    <w:rsid w:val="00D70704"/>
    <w:rsid w:val="00D73718"/>
    <w:rsid w:val="00D73FC4"/>
    <w:rsid w:val="00D82B33"/>
    <w:rsid w:val="00D83706"/>
    <w:rsid w:val="00D837DB"/>
    <w:rsid w:val="00D94FC3"/>
    <w:rsid w:val="00DA5EBF"/>
    <w:rsid w:val="00DB5DE6"/>
    <w:rsid w:val="00DB7204"/>
    <w:rsid w:val="00DC39DF"/>
    <w:rsid w:val="00DC3C37"/>
    <w:rsid w:val="00DC602A"/>
    <w:rsid w:val="00DC71A8"/>
    <w:rsid w:val="00DD0622"/>
    <w:rsid w:val="00DD2D16"/>
    <w:rsid w:val="00DD6712"/>
    <w:rsid w:val="00DE040F"/>
    <w:rsid w:val="00DE4D4D"/>
    <w:rsid w:val="00DE4F5D"/>
    <w:rsid w:val="00DE72FD"/>
    <w:rsid w:val="00DF48E3"/>
    <w:rsid w:val="00E0225F"/>
    <w:rsid w:val="00E04231"/>
    <w:rsid w:val="00E11C63"/>
    <w:rsid w:val="00E14EE5"/>
    <w:rsid w:val="00E1712F"/>
    <w:rsid w:val="00E2112E"/>
    <w:rsid w:val="00E22029"/>
    <w:rsid w:val="00E23EEA"/>
    <w:rsid w:val="00E2781C"/>
    <w:rsid w:val="00E27BC8"/>
    <w:rsid w:val="00E30305"/>
    <w:rsid w:val="00E30E1E"/>
    <w:rsid w:val="00E339C4"/>
    <w:rsid w:val="00E34898"/>
    <w:rsid w:val="00E35572"/>
    <w:rsid w:val="00E3663E"/>
    <w:rsid w:val="00E377C4"/>
    <w:rsid w:val="00E43901"/>
    <w:rsid w:val="00E445B1"/>
    <w:rsid w:val="00E4504A"/>
    <w:rsid w:val="00E53784"/>
    <w:rsid w:val="00E537DF"/>
    <w:rsid w:val="00E564F7"/>
    <w:rsid w:val="00E5764D"/>
    <w:rsid w:val="00E64917"/>
    <w:rsid w:val="00E71223"/>
    <w:rsid w:val="00E71BB1"/>
    <w:rsid w:val="00E72EA5"/>
    <w:rsid w:val="00E74E38"/>
    <w:rsid w:val="00E7544A"/>
    <w:rsid w:val="00E75C83"/>
    <w:rsid w:val="00E80C5A"/>
    <w:rsid w:val="00E8149A"/>
    <w:rsid w:val="00E84360"/>
    <w:rsid w:val="00E9255B"/>
    <w:rsid w:val="00E967D9"/>
    <w:rsid w:val="00E972D1"/>
    <w:rsid w:val="00E97335"/>
    <w:rsid w:val="00EA2765"/>
    <w:rsid w:val="00EA3416"/>
    <w:rsid w:val="00EB10F0"/>
    <w:rsid w:val="00EB2BF1"/>
    <w:rsid w:val="00EB480F"/>
    <w:rsid w:val="00EB6976"/>
    <w:rsid w:val="00EB6DB1"/>
    <w:rsid w:val="00EC4F33"/>
    <w:rsid w:val="00ED2B67"/>
    <w:rsid w:val="00ED3868"/>
    <w:rsid w:val="00ED5977"/>
    <w:rsid w:val="00ED5DB5"/>
    <w:rsid w:val="00EF5FFD"/>
    <w:rsid w:val="00F027EC"/>
    <w:rsid w:val="00F03020"/>
    <w:rsid w:val="00F109E0"/>
    <w:rsid w:val="00F11F52"/>
    <w:rsid w:val="00F13D7A"/>
    <w:rsid w:val="00F17C6C"/>
    <w:rsid w:val="00F229EB"/>
    <w:rsid w:val="00F23A0A"/>
    <w:rsid w:val="00F26D33"/>
    <w:rsid w:val="00F27596"/>
    <w:rsid w:val="00F37151"/>
    <w:rsid w:val="00F372BA"/>
    <w:rsid w:val="00F404DF"/>
    <w:rsid w:val="00F41690"/>
    <w:rsid w:val="00F4463F"/>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A9A"/>
    <w:rsid w:val="00FF0B5B"/>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0E6"/>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5"/>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8"/>
      </w:numPr>
      <w:spacing w:before="120" w:after="0"/>
      <w:jc w:val="both"/>
    </w:pPr>
    <w:rPr>
      <w:rFonts w:ascii="Arial" w:hAnsi="Arial"/>
      <w:sz w:val="22"/>
      <w:szCs w:val="20"/>
    </w:rPr>
  </w:style>
  <w:style w:type="numbering" w:customStyle="1" w:styleId="WWNum10">
    <w:name w:val="WWNum10"/>
    <w:basedOn w:val="Nessunelenco"/>
    <w:rsid w:val="001A1F86"/>
    <w:pPr>
      <w:numPr>
        <w:numId w:val="10"/>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hyperlink" Target="mailto:esercizio.diritti.privacy@consip.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image" Target="media/image4.emf"/><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93DF-40FE-46CC-B5F8-A8EAE192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3044</Words>
  <Characters>17351</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2020-01-17T11:37:00Z</dcterms:created>
  <dcterms:modified xsi:type="dcterms:W3CDTF">2020-01-17T11:40:00Z</dcterms:modified>
</cp:coreProperties>
</file>